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53E26B" w14:textId="77777777" w:rsidR="001159BB" w:rsidRDefault="001159BB" w:rsidP="001159BB">
      <w:r>
        <w:t>Corporate Strategy Overview: ARS Metal Industries d.o.o.</w:t>
      </w:r>
    </w:p>
    <w:p w14:paraId="4421C56A" w14:textId="77777777" w:rsidR="001159BB" w:rsidRDefault="001159BB" w:rsidP="001159BB">
      <w:r>
        <w:t>Executive Summary</w:t>
      </w:r>
    </w:p>
    <w:p w14:paraId="5E9F433B" w14:textId="77777777" w:rsidR="001159BB" w:rsidRDefault="001159BB" w:rsidP="001159BB">
      <w:r>
        <w:t>ARS Metal Industries d.o.o. (“ARS” or “the Company”) is a specialized industrial manufacturer strategically positioned to address the critical supply chain bottlenecks facing Europe’s power infrastructure. As the European Union accelerates its energy transition under the REPowerEU mandate and the Green Deal, the demand for power and distribution transformers has outstripped regional manufacturing capacity. ARS addresses this supply gap by establishing a high-efficiency facility in Montenegro, dedicated to producing transformer tanks, corrugated wall systems, and specialized steel components.</w:t>
      </w:r>
    </w:p>
    <w:p w14:paraId="1EE32978" w14:textId="77777777" w:rsidR="001159BB" w:rsidRDefault="001159BB" w:rsidP="001159BB">
      <w:r>
        <w:t>With a design capacity of 9,000 tons of steel processing per annum, ARS leverages a competitive cost structure, high-standard technical expertise, and proximity to major European Original Equipment Manufacturers (OEMs). The project is engineered for long-term scalability, strict adherence to international quality standards (ISO/IEC), and a commitment to sustainable industrial practices. This strategy outlines the Company’s roadmap to becoming a tier-one supplier to the European energy sector, offering institutional investors and strategic partners a de-risked entry point into the high-growth regional electrification market.</w:t>
      </w:r>
    </w:p>
    <w:p w14:paraId="0BBA9DD0" w14:textId="77777777" w:rsidR="001159BB" w:rsidRDefault="001159BB" w:rsidP="001159BB">
      <w:r>
        <w:t>1. Strategic Vision and Mission</w:t>
      </w:r>
    </w:p>
    <w:p w14:paraId="1144F767" w14:textId="77777777" w:rsidR="001159BB" w:rsidRDefault="001159BB" w:rsidP="001159BB">
      <w:r>
        <w:t>1.1 Vision</w:t>
      </w:r>
    </w:p>
    <w:p w14:paraId="1DD3DECC" w14:textId="77777777" w:rsidR="001159BB" w:rsidRDefault="001159BB" w:rsidP="001159BB">
      <w:r>
        <w:t>To evolve into a premier regional industrial hub, serving as an indispensable pillar in the European supply chain for power transformer components and specialized metal systems.</w:t>
      </w:r>
    </w:p>
    <w:p w14:paraId="6416EA4F" w14:textId="77777777" w:rsidR="001159BB" w:rsidRDefault="001159BB" w:rsidP="001159BB">
      <w:r>
        <w:t>1.2 Mission</w:t>
      </w:r>
    </w:p>
    <w:p w14:paraId="5E27CD5C" w14:textId="77777777" w:rsidR="001159BB" w:rsidRDefault="001159BB" w:rsidP="001159BB">
      <w:r>
        <w:t>To provide high-precision, reliable, and cost-effective metal solutions for energy infrastructure, supporting the global transition to renewable energy sources through manufacturing excellence and technological agility.</w:t>
      </w:r>
    </w:p>
    <w:p w14:paraId="37FE3B82" w14:textId="77777777" w:rsidR="001159BB" w:rsidRDefault="001159BB" w:rsidP="001159BB">
      <w:r>
        <w:t>2. Strategic Context: The Electrification Imperative</w:t>
      </w:r>
    </w:p>
    <w:p w14:paraId="2F3DB216" w14:textId="77777777" w:rsidR="001159BB" w:rsidRDefault="001159BB" w:rsidP="001159BB">
      <w:r>
        <w:t>The European power sector is currently undergoing its most significant structural shift in decades. Driven by the urgent need for grid modernization and the integration of intermittent renewable energy, investment in transmission and distribution (T&amp;D) infrastructure has become a non-negotiable policy priority.</w:t>
      </w:r>
    </w:p>
    <w:p w14:paraId="6CE5B0E2" w14:textId="77777777" w:rsidR="001159BB" w:rsidRDefault="001159BB" w:rsidP="001159BB">
      <w:r>
        <w:t>2.1 Market Drivers</w:t>
      </w:r>
    </w:p>
    <w:p w14:paraId="42BFC576" w14:textId="77777777" w:rsidR="001159BB" w:rsidRDefault="001159BB" w:rsidP="001159BB">
      <w:r>
        <w:t xml:space="preserve"> * Grid Modernization: Aging infrastructure across the EU necessitates massive replacement cycles for power transformers.</w:t>
      </w:r>
    </w:p>
    <w:p w14:paraId="52072758" w14:textId="77777777" w:rsidR="001159BB" w:rsidRDefault="001159BB" w:rsidP="001159BB">
      <w:r>
        <w:t xml:space="preserve"> * Renewable Integration: Decarbonization goals require grid-scale storage and expanded connection points, spiking demand for specialized transformers.</w:t>
      </w:r>
    </w:p>
    <w:p w14:paraId="777D2EE3" w14:textId="77777777" w:rsidR="001159BB" w:rsidRDefault="001159BB" w:rsidP="001159BB">
      <w:r>
        <w:t xml:space="preserve"> * Electrification of Transport/Industry: The transition to electric vehicles and industrial electrification is driving a sustained increase in load demand, requiring higher grid throughput.</w:t>
      </w:r>
    </w:p>
    <w:p w14:paraId="187CA517" w14:textId="77777777" w:rsidR="001159BB" w:rsidRDefault="001159BB" w:rsidP="001159BB">
      <w:r>
        <w:t>2.2 Supply Chain Sensitivity</w:t>
      </w:r>
    </w:p>
    <w:p w14:paraId="00D6291E" w14:textId="77777777" w:rsidR="001159BB" w:rsidRDefault="001159BB" w:rsidP="001159BB">
      <w:r>
        <w:t>Current market data indicates a global transformer lead-time crisis, with demand projected to grow at a CAGR of 6–8% through 2030. European OEMs are actively seeking to diversify their supply chains away from over-reliance on distant, non-European suppliers to mitigate geopolitical risks and logistics costs. ARS is positioned to capitalize on this regionalization trend.</w:t>
      </w:r>
    </w:p>
    <w:p w14:paraId="32F41B7F" w14:textId="77777777" w:rsidR="001159BB" w:rsidRDefault="001159BB" w:rsidP="001159BB">
      <w:r>
        <w:t>3. Strategic Market Position</w:t>
      </w:r>
    </w:p>
    <w:p w14:paraId="59CFA86F" w14:textId="77777777" w:rsidR="001159BB" w:rsidRDefault="001159BB" w:rsidP="001159BB">
      <w:r>
        <w:t>ARS operates in the high-value middle segment of the energy infrastructure supply chain, acting as a critical component supplier to global and regional transformer OEMs.</w:t>
      </w:r>
    </w:p>
    <w:p w14:paraId="0E7D92BD" w14:textId="77777777" w:rsidR="001159BB" w:rsidRDefault="001159BB" w:rsidP="001159BB">
      <w:r>
        <w:t>3.1 Core Product Focus</w:t>
      </w:r>
    </w:p>
    <w:p w14:paraId="027327D1" w14:textId="77777777" w:rsidR="001159BB" w:rsidRDefault="001159BB" w:rsidP="001159BB">
      <w:r>
        <w:t xml:space="preserve"> * Transformer Tanks: High-specification enclosures for power and distribution units.</w:t>
      </w:r>
    </w:p>
    <w:p w14:paraId="16CB3786" w14:textId="77777777" w:rsidR="001159BB" w:rsidRDefault="001159BB" w:rsidP="001159BB">
      <w:r>
        <w:t xml:space="preserve"> * Corrugated Wall Systems: Heat-dissipation components critical for transformer efficiency.</w:t>
      </w:r>
    </w:p>
    <w:p w14:paraId="0D1DC4CF" w14:textId="77777777" w:rsidR="001159BB" w:rsidRDefault="001159BB" w:rsidP="001159BB">
      <w:r>
        <w:t xml:space="preserve"> * Industrial Steel Processing: Precision-engineered heavy-duty components for the energy sector.</w:t>
      </w:r>
    </w:p>
    <w:p w14:paraId="4A13FB5C" w14:textId="77777777" w:rsidR="001159BB" w:rsidRDefault="001159BB" w:rsidP="001159BB">
      <w:r>
        <w:t>3.2 Value Chain Integration</w:t>
      </w:r>
    </w:p>
    <w:p w14:paraId="7B9EE12B" w14:textId="77777777" w:rsidR="001159BB" w:rsidRDefault="001159BB" w:rsidP="001159BB">
      <w:r>
        <w:t>The Company bridges the gap between raw steel production and the final assembly of finished transformer units. By maintaining close technical collaboration with OEMs, ARS ensures that its output aligns with the stringent specifications required for long-term grid reliability.</w:t>
      </w:r>
    </w:p>
    <w:p w14:paraId="19312C47" w14:textId="77777777" w:rsidR="001159BB" w:rsidRDefault="001159BB" w:rsidP="001159BB">
      <w:r>
        <w:t>4. Growth Strategy: Three-Pillar Framework</w:t>
      </w:r>
    </w:p>
    <w:p w14:paraId="0E7C6ACD" w14:textId="77777777" w:rsidR="001159BB" w:rsidRDefault="001159BB" w:rsidP="001159BB">
      <w:r>
        <w:t>The growth strategy is anchored in operational excellence and systematic capacity scaling.</w:t>
      </w:r>
    </w:p>
    <w:p w14:paraId="5619E721" w14:textId="77777777" w:rsidR="001159BB" w:rsidRDefault="001159BB" w:rsidP="001159BB">
      <w:r>
        <w:t>| Pillar | Focus | Strategic Goal |</w:t>
      </w:r>
    </w:p>
    <w:p w14:paraId="3AC4C0B8" w14:textId="77777777" w:rsidR="001159BB" w:rsidRDefault="001159BB" w:rsidP="001159BB">
      <w:r>
        <w:t>|---|---|---|</w:t>
      </w:r>
    </w:p>
    <w:p w14:paraId="2922239E" w14:textId="77777777" w:rsidR="001159BB" w:rsidRDefault="001159BB" w:rsidP="001159BB">
      <w:r>
        <w:t>| Industrial Capacity | Greenfield Development | Achieve 9,000-ton annual throughput. |</w:t>
      </w:r>
    </w:p>
    <w:p w14:paraId="1DBD36E6" w14:textId="77777777" w:rsidR="001159BB" w:rsidRDefault="001159BB" w:rsidP="001159BB">
      <w:r>
        <w:t>| Market Integration | OEM Partnerships | Secure long-term off-take agreements. |</w:t>
      </w:r>
    </w:p>
    <w:p w14:paraId="7EEFC881" w14:textId="77777777" w:rsidR="001159BB" w:rsidRDefault="001159BB" w:rsidP="001159BB">
      <w:r>
        <w:t>| Operational Efficiency | Lean Manufacturing | Maximize margin via cost control. |</w:t>
      </w:r>
    </w:p>
    <w:p w14:paraId="4FEBEA7C" w14:textId="77777777" w:rsidR="001159BB" w:rsidRDefault="001159BB" w:rsidP="001159BB">
      <w:r>
        <w:t>4.1 Capacity Scaling</w:t>
      </w:r>
    </w:p>
    <w:p w14:paraId="288F66FF" w14:textId="77777777" w:rsidR="001159BB" w:rsidRDefault="001159BB" w:rsidP="001159BB">
      <w:r>
        <w:t>The facility is designed as a modular industrial site. Initial investment focuses on high-precision welding, surface treatment (blasting/painting), and automated assembly lines.</w:t>
      </w:r>
    </w:p>
    <w:p w14:paraId="206F1736" w14:textId="77777777" w:rsidR="001159BB" w:rsidRDefault="001159BB" w:rsidP="001159BB">
      <w:r>
        <w:t>4.2 Quality and Certification Pipeline</w:t>
      </w:r>
    </w:p>
    <w:p w14:paraId="60DA2C89" w14:textId="77777777" w:rsidR="001159BB" w:rsidRDefault="001159BB" w:rsidP="001159BB">
      <w:r>
        <w:t>To ensure compliance with European standards, the Company has initiated a certification roadmap:</w:t>
      </w:r>
    </w:p>
    <w:p w14:paraId="2CEB6D45" w14:textId="77777777" w:rsidR="001159BB" w:rsidRDefault="001159BB" w:rsidP="001159BB">
      <w:r>
        <w:t xml:space="preserve"> * ISO 9001: Quality Management Systems.</w:t>
      </w:r>
    </w:p>
    <w:p w14:paraId="5ECBC050" w14:textId="77777777" w:rsidR="001159BB" w:rsidRDefault="001159BB" w:rsidP="001159BB">
      <w:r>
        <w:t xml:space="preserve"> * ISO 14001: Environmental Management Systems.</w:t>
      </w:r>
    </w:p>
    <w:p w14:paraId="499DAB82" w14:textId="77777777" w:rsidR="001159BB" w:rsidRDefault="001159BB" w:rsidP="001159BB">
      <w:r>
        <w:t xml:space="preserve"> * EN 1090: Structural steel and aluminum execution compliance.</w:t>
      </w:r>
    </w:p>
    <w:p w14:paraId="40C96A07" w14:textId="77777777" w:rsidR="001159BB" w:rsidRDefault="001159BB" w:rsidP="001159BB">
      <w:r>
        <w:t xml:space="preserve"> * IEC Standards: Ensuring all components meet strict international electro-technical requirements.</w:t>
      </w:r>
    </w:p>
    <w:p w14:paraId="09F5532E" w14:textId="77777777" w:rsidR="001159BB" w:rsidRDefault="001159BB" w:rsidP="001159BB">
      <w:r>
        <w:t>5. Competitive Strategy</w:t>
      </w:r>
    </w:p>
    <w:p w14:paraId="2384CDE0" w14:textId="77777777" w:rsidR="001159BB" w:rsidRDefault="001159BB" w:rsidP="001159BB">
      <w:r>
        <w:t>ARS differentiates itself through a blend of technical competence, regional logistical advantages, and cost-effective operations.</w:t>
      </w:r>
    </w:p>
    <w:p w14:paraId="38DACCC3" w14:textId="77777777" w:rsidR="001159BB" w:rsidRDefault="001159BB" w:rsidP="001159BB">
      <w:r>
        <w:t xml:space="preserve"> * Logistics Advantage: Situated in Montenegro, the Company benefits from significant transport cost savings when supplying the broader Balkan and Central European markets, providing a distinct advantage over non-European competitors.</w:t>
      </w:r>
    </w:p>
    <w:p w14:paraId="3CEE2C22" w14:textId="77777777" w:rsidR="001159BB" w:rsidRDefault="001159BB" w:rsidP="001159BB">
      <w:r>
        <w:t xml:space="preserve"> * Cost Efficiency: Favorable labor and operational cost structures in the region create a resilient margin buffer, even during periods of steel price volatility.</w:t>
      </w:r>
    </w:p>
    <w:p w14:paraId="181FDF48" w14:textId="77777777" w:rsidR="001159BB" w:rsidRDefault="001159BB" w:rsidP="001159BB">
      <w:r>
        <w:t xml:space="preserve"> * Strategic Agility: As a focused manufacturer, ARS can respond to custom OEM specifications with higher agility than larger, more bureaucratic competitors.</w:t>
      </w:r>
    </w:p>
    <w:p w14:paraId="19C59936" w14:textId="77777777" w:rsidR="001159BB" w:rsidRDefault="001159BB" w:rsidP="001159BB">
      <w:r>
        <w:t>6. Investment and Execution</w:t>
      </w:r>
    </w:p>
    <w:p w14:paraId="4C936E1B" w14:textId="77777777" w:rsidR="001159BB" w:rsidRDefault="001159BB" w:rsidP="001159BB">
      <w:r>
        <w:t>The project involves the construction of a greenfield facility designed for full-cycle production.</w:t>
      </w:r>
    </w:p>
    <w:p w14:paraId="4EF3D235" w14:textId="77777777" w:rsidR="001159BB" w:rsidRDefault="001159BB" w:rsidP="001159BB">
      <w:r>
        <w:t>6.1 Investment Scope</w:t>
      </w:r>
    </w:p>
    <w:p w14:paraId="7AD41145" w14:textId="77777777" w:rsidR="001159BB" w:rsidRDefault="001159BB" w:rsidP="001159BB">
      <w:r>
        <w:t xml:space="preserve"> * Infrastructure: Modern, high-ceiling industrial hall and high-voltage power supply.</w:t>
      </w:r>
    </w:p>
    <w:p w14:paraId="34A771FD" w14:textId="77777777" w:rsidR="001159BB" w:rsidRDefault="001159BB" w:rsidP="001159BB">
      <w:r>
        <w:t xml:space="preserve"> * Technology: State-of-the-art CNC, plasma cutting, and robotic welding stations.</w:t>
      </w:r>
    </w:p>
    <w:p w14:paraId="16CCBC5F" w14:textId="77777777" w:rsidR="001159BB" w:rsidRDefault="001159BB" w:rsidP="001159BB">
      <w:r>
        <w:t xml:space="preserve"> * ESG Integration: Investment in energy-efficient lighting, waste heat recovery from welding processes, and a commitment to local workforce development (as discussed in the Human Capital Development Plan).</w:t>
      </w:r>
    </w:p>
    <w:p w14:paraId="47634A99" w14:textId="77777777" w:rsidR="001159BB" w:rsidRDefault="001159BB" w:rsidP="001159BB">
      <w:r>
        <w:t>6.2 Risk Mitigation</w:t>
      </w:r>
    </w:p>
    <w:p w14:paraId="4731B15D" w14:textId="77777777" w:rsidR="001159BB" w:rsidRDefault="001159BB" w:rsidP="001159BB">
      <w:r>
        <w:t xml:space="preserve"> * Commodity Volatility: Implementation of back-to-back hedging contracts with steel suppliers.</w:t>
      </w:r>
    </w:p>
    <w:p w14:paraId="586E1832" w14:textId="77777777" w:rsidR="001159BB" w:rsidRDefault="001159BB" w:rsidP="001159BB">
      <w:r>
        <w:t xml:space="preserve"> * Project Execution: Experienced EPC (Engineering, Procurement, Construction) management team oversight.</w:t>
      </w:r>
    </w:p>
    <w:p w14:paraId="12A32716" w14:textId="77777777" w:rsidR="001159BB" w:rsidRDefault="001159BB" w:rsidP="001159BB">
      <w:r>
        <w:t xml:space="preserve"> * Regulatory Changes: Ongoing monitoring of EU CBAM (Carbon Border Adjustment Mechanism) impacts to ensure competitive neutrality.</w:t>
      </w:r>
    </w:p>
    <w:p w14:paraId="181F2035" w14:textId="77777777" w:rsidR="001159BB" w:rsidRDefault="001159BB" w:rsidP="001159BB">
      <w:r>
        <w:t>7. Long-Term Objectives</w:t>
      </w:r>
    </w:p>
    <w:p w14:paraId="7D2340FB" w14:textId="77777777" w:rsidR="001159BB" w:rsidRDefault="001159BB" w:rsidP="001159BB">
      <w:r>
        <w:t>ARS is committed to building institutional value through the following multi-year goals:</w:t>
      </w:r>
    </w:p>
    <w:p w14:paraId="4C80D212" w14:textId="77777777" w:rsidR="001159BB" w:rsidRDefault="001159BB" w:rsidP="001159BB">
      <w:r>
        <w:t xml:space="preserve"> * Market Penetration: Establishing a consistent, high-quality output delivered to at least three major EU-based transformer OEMs by Year 3.</w:t>
      </w:r>
    </w:p>
    <w:p w14:paraId="0507E42B" w14:textId="77777777" w:rsidR="001159BB" w:rsidRDefault="001159BB" w:rsidP="001159BB">
      <w:r>
        <w:t xml:space="preserve"> * Sustainability Leadership: Attaining carbon-neutral manufacturing status through renewable energy sourcing within the facility.</w:t>
      </w:r>
    </w:p>
    <w:p w14:paraId="1AC9011E" w14:textId="77777777" w:rsidR="001159BB" w:rsidRDefault="001159BB" w:rsidP="001159BB">
      <w:r>
        <w:t xml:space="preserve"> * Technological Maturity: Moving toward semi-automated production lines to reach target efficiency levels (9,000 tons/year) by Year 4.</w:t>
      </w:r>
    </w:p>
    <w:p w14:paraId="2C3C97EB" w14:textId="77777777" w:rsidR="001159BB" w:rsidRDefault="001159BB" w:rsidP="001159BB">
      <w:r>
        <w:t>8. Strategic Importance: Creating Value</w:t>
      </w:r>
    </w:p>
    <w:p w14:paraId="2B9CD8CE" w14:textId="77777777" w:rsidR="001159BB" w:rsidRDefault="001159BB" w:rsidP="001159BB">
      <w:r>
        <w:t>The deployment of this corporate strategy transforms ARS from an industrial startup into a strategic asset. By providing a reliable, European-based supply source, the Company directly serves the interests of national grid operators and global OEMs. This positioning ensures long-term revenue stability and sets the stage for potential exit opportunities or further industrial scaling.</w:t>
      </w:r>
    </w:p>
    <w:p w14:paraId="3B3626C9" w14:textId="77777777" w:rsidR="001159BB" w:rsidRDefault="001159BB" w:rsidP="001159BB">
      <w:r>
        <w:t>Recommended Visuals for Pitch Deck</w:t>
      </w:r>
    </w:p>
    <w:p w14:paraId="277ABF98" w14:textId="77777777" w:rsidR="001159BB" w:rsidRDefault="001159BB" w:rsidP="001159BB">
      <w:r>
        <w:t xml:space="preserve"> * Market Position Diagram: A value-chain flow chart placing ARS between the steel mill and the Transformer OEM.</w:t>
      </w:r>
    </w:p>
    <w:p w14:paraId="2B14E424" w14:textId="77777777" w:rsidR="001159BB" w:rsidRDefault="001159BB" w:rsidP="001159BB">
      <w:r>
        <w:t xml:space="preserve"> * Montenegro Logistics Map: Highlighting proximity to major ports (e.g., Bar) and key regional motorways to illustrate transit efficiency.</w:t>
      </w:r>
    </w:p>
    <w:p w14:paraId="5B80FC36" w14:textId="77777777" w:rsidR="001159BB" w:rsidRDefault="001159BB" w:rsidP="001159BB">
      <w:r>
        <w:t xml:space="preserve"> * Capacity Ramp-up Timeline: A Gantt chart showing the phased installation of production lines from Year 0 to full 9,000-ton capacity.</w:t>
      </w:r>
    </w:p>
    <w:p w14:paraId="7E589A3A" w14:textId="77777777" w:rsidR="001159BB" w:rsidRDefault="001159BB" w:rsidP="001159BB">
      <w:r>
        <w:t xml:space="preserve"> * Market Growth Chart: A bar graph showing the projected CAGR of European transformer demand (2026–2035) superimposed on the planned capacity growth of ARS.</w:t>
      </w:r>
    </w:p>
    <w:p w14:paraId="28219184" w14:textId="77777777" w:rsidR="001159BB" w:rsidRDefault="001159BB" w:rsidP="001159BB">
      <w:r>
        <w:t>Change Log / Key Improvements</w:t>
      </w:r>
    </w:p>
    <w:p w14:paraId="2AD844C1" w14:textId="77777777" w:rsidR="001159BB" w:rsidRDefault="001159BB" w:rsidP="001159BB">
      <w:r>
        <w:t xml:space="preserve"> * Professionalization: Replaced all local language phrases with formal, industry-standard English terminology.</w:t>
      </w:r>
    </w:p>
    <w:p w14:paraId="45D264BF" w14:textId="77777777" w:rsidR="001159BB" w:rsidRDefault="001159BB" w:rsidP="001159BB">
      <w:r>
        <w:t xml:space="preserve"> * Investor Focus: Added an Executive Summary to cater to time-constrained institutional investors.</w:t>
      </w:r>
    </w:p>
    <w:p w14:paraId="336FDBEA" w14:textId="77777777" w:rsidR="001159BB" w:rsidRDefault="001159BB" w:rsidP="001159BB">
      <w:r>
        <w:t xml:space="preserve"> * Market Intelligence: Integrated context on REPowerEU, the European Green Deal, and the current transformer market supply crunch.</w:t>
      </w:r>
    </w:p>
    <w:p w14:paraId="65546264" w14:textId="77777777" w:rsidR="001159BB" w:rsidRDefault="001159BB" w:rsidP="001159BB">
      <w:r>
        <w:t xml:space="preserve"> * Quantitative Depth: Introduced specific production targets (9,000 t/year) and clear quality certification roadmaps.</w:t>
      </w:r>
    </w:p>
    <w:p w14:paraId="714F93FB" w14:textId="77777777" w:rsidR="001159BB" w:rsidRDefault="001159BB" w:rsidP="001159BB">
      <w:r>
        <w:t xml:space="preserve"> * Risk/Governance: Added sections on risk mitigation (steel volatility, regulatory shifts) and ESG integration to align with modern institutional investor requirements.</w:t>
      </w:r>
    </w:p>
    <w:p w14:paraId="14ECF57A" w14:textId="77777777" w:rsidR="001159BB" w:rsidRDefault="001159BB" w:rsidP="001159BB">
      <w:r>
        <w:t xml:space="preserve"> * Strategic Alignment: Positioned the Company as an "upstream component supplier" to elevate its status in the eyes of potential OEMs and partners.</w:t>
      </w:r>
    </w:p>
    <w:p w14:paraId="2E18D905" w14:textId="6192155F" w:rsidR="001159BB" w:rsidRDefault="001159BB">
      <w:r>
        <w:t>Would you like me to draft a summary table of the projected investment phases for a potential lender, or should I create a more detailed risk register for the executive appendix?</w:t>
      </w:r>
    </w:p>
    <w:sectPr w:rsidR="001159B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59BB"/>
    <w:rsid w:val="001159BB"/>
    <w:rsid w:val="00826D15"/>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decimalSymbol w:val=","/>
  <w:listSeparator w:val=","/>
  <w14:docId w14:val="2E6D1CB3"/>
  <w15:chartTrackingRefBased/>
  <w15:docId w15:val="{A613F309-A92D-F146-A101-C43633C8A9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DE"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59B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159B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159B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159B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159B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159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59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59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59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59B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159B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159B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159B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159B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159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59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59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59BB"/>
    <w:rPr>
      <w:rFonts w:eastAsiaTheme="majorEastAsia" w:cstheme="majorBidi"/>
      <w:color w:val="272727" w:themeColor="text1" w:themeTint="D8"/>
    </w:rPr>
  </w:style>
  <w:style w:type="paragraph" w:styleId="Title">
    <w:name w:val="Title"/>
    <w:basedOn w:val="Normal"/>
    <w:next w:val="Normal"/>
    <w:link w:val="TitleChar"/>
    <w:uiPriority w:val="10"/>
    <w:qFormat/>
    <w:rsid w:val="001159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59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59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59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59BB"/>
    <w:pPr>
      <w:spacing w:before="160"/>
      <w:jc w:val="center"/>
    </w:pPr>
    <w:rPr>
      <w:i/>
      <w:iCs/>
      <w:color w:val="404040" w:themeColor="text1" w:themeTint="BF"/>
    </w:rPr>
  </w:style>
  <w:style w:type="character" w:customStyle="1" w:styleId="QuoteChar">
    <w:name w:val="Quote Char"/>
    <w:basedOn w:val="DefaultParagraphFont"/>
    <w:link w:val="Quote"/>
    <w:uiPriority w:val="29"/>
    <w:rsid w:val="001159BB"/>
    <w:rPr>
      <w:i/>
      <w:iCs/>
      <w:color w:val="404040" w:themeColor="text1" w:themeTint="BF"/>
    </w:rPr>
  </w:style>
  <w:style w:type="paragraph" w:styleId="ListParagraph">
    <w:name w:val="List Paragraph"/>
    <w:basedOn w:val="Normal"/>
    <w:uiPriority w:val="34"/>
    <w:qFormat/>
    <w:rsid w:val="001159BB"/>
    <w:pPr>
      <w:ind w:left="720"/>
      <w:contextualSpacing/>
    </w:pPr>
  </w:style>
  <w:style w:type="character" w:styleId="IntenseEmphasis">
    <w:name w:val="Intense Emphasis"/>
    <w:basedOn w:val="DefaultParagraphFont"/>
    <w:uiPriority w:val="21"/>
    <w:qFormat/>
    <w:rsid w:val="001159BB"/>
    <w:rPr>
      <w:i/>
      <w:iCs/>
      <w:color w:val="2F5496" w:themeColor="accent1" w:themeShade="BF"/>
    </w:rPr>
  </w:style>
  <w:style w:type="paragraph" w:styleId="IntenseQuote">
    <w:name w:val="Intense Quote"/>
    <w:basedOn w:val="Normal"/>
    <w:next w:val="Normal"/>
    <w:link w:val="IntenseQuoteChar"/>
    <w:uiPriority w:val="30"/>
    <w:qFormat/>
    <w:rsid w:val="001159B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159BB"/>
    <w:rPr>
      <w:i/>
      <w:iCs/>
      <w:color w:val="2F5496" w:themeColor="accent1" w:themeShade="BF"/>
    </w:rPr>
  </w:style>
  <w:style w:type="character" w:styleId="IntenseReference">
    <w:name w:val="Intense Reference"/>
    <w:basedOn w:val="DefaultParagraphFont"/>
    <w:uiPriority w:val="32"/>
    <w:qFormat/>
    <w:rsid w:val="001159B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1335</Words>
  <Characters>7614</Characters>
  <Application>Microsoft Office Word</Application>
  <DocSecurity>0</DocSecurity>
  <Lines>63</Lines>
  <Paragraphs>17</Paragraphs>
  <ScaleCrop>false</ScaleCrop>
  <Company/>
  <LinksUpToDate>false</LinksUpToDate>
  <CharactersWithSpaces>8932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Danijela Đurović</dc:creator>
  <cp:keywords/>
  <dc:description/>
  <cp:lastModifiedBy>Danijela Đurović</cp:lastModifiedBy>
  <cp:revision>2</cp:revision>
  <dcterms:created xsi:type="dcterms:W3CDTF">2026-03-08T00:35:00Z</dcterms:created>
  <dcterms:modified xsi:type="dcterms:W3CDTF">2026-03-08T00:35:00Z</dcterms:modified>
</cp:coreProperties>
</file>