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ONE-PAGE EXECUTIVE SUMMARY</w:t>
        <w:br/>
        <w:t>FACTORY ACQUISITION</w:t>
      </w:r>
    </w:p>
    <w:p>
      <w:r>
        <w:t>Net Price: 600,000 € | VAT (21%): 126,000 € | Total: 726,000 €</w:t>
        <w:br/>
        <w:t>Installed Value: ~750,000 €+ | Market Value: ~500,000 € | Offer: 600,000 €</w:t>
      </w:r>
    </w:p>
    <w:p>
      <w:r>
        <w:drawing>
          <wp:inline xmlns:a="http://schemas.openxmlformats.org/drawingml/2006/main" xmlns:pic="http://schemas.openxmlformats.org/drawingml/2006/picture">
            <wp:extent cx="5029200" cy="3664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vs_offe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This chart shows the relationship between installed system value, market value, and the agreed offer. The offer includes a premium justified by time-to-market advantage and elimination of execution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