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7DFA5" w14:textId="77777777" w:rsidR="000E7937" w:rsidRDefault="000E7937" w:rsidP="000E7937">
      <w:r>
        <w:t>Shareholder Structure &amp; Governance Overview: ARS Metal Industries d.o.o.</w:t>
      </w:r>
    </w:p>
    <w:p w14:paraId="65CBAEFB" w14:textId="77777777" w:rsidR="000E7937" w:rsidRDefault="000E7937" w:rsidP="000E7937">
      <w:r>
        <w:t>1. Executive Summary</w:t>
      </w:r>
    </w:p>
    <w:p w14:paraId="5204BE8E" w14:textId="77777777" w:rsidR="000E7937" w:rsidRDefault="000E7937" w:rsidP="000E7937">
      <w:r>
        <w:t>ARS Metal Industries d.o.o. ("ARS" or "the Company") maintains a transparent, streamlined, and scalable ownership structure designed to facilitate institutional investment and support long-term industrial growth. Currently operating as a private entity under Montenegrin law, the Company has structured its equity to ensure decisive management while remaining agile for prospective strategic partners, development banks, or private equity investors.</w:t>
      </w:r>
    </w:p>
    <w:p w14:paraId="1B0F3298" w14:textId="77777777" w:rsidR="000E7937" w:rsidRDefault="000E7937" w:rsidP="000E7937">
      <w:r>
        <w:t>2. Current Ownership and Capitalization</w:t>
      </w:r>
    </w:p>
    <w:p w14:paraId="31149F00" w14:textId="77777777" w:rsidR="000E7937" w:rsidRDefault="000E7937" w:rsidP="000E7937">
      <w:r>
        <w:t>The Company is currently held by its founder, who retains full control to ensure strategic focus during the initial greenfield development phase.</w:t>
      </w:r>
    </w:p>
    <w:p w14:paraId="7F249C29" w14:textId="77777777" w:rsidR="000E7937" w:rsidRDefault="000E7937" w:rsidP="000E7937">
      <w:r>
        <w:t>2.1 Ownership Profile</w:t>
      </w:r>
    </w:p>
    <w:p w14:paraId="3A87D6F1" w14:textId="77777777" w:rsidR="000E7937" w:rsidRDefault="000E7937" w:rsidP="000E7937">
      <w:r>
        <w:t>| Shareholder | Ownership (%) | Role |</w:t>
      </w:r>
    </w:p>
    <w:p w14:paraId="084DB3BF" w14:textId="77777777" w:rsidR="000E7937" w:rsidRDefault="000E7937" w:rsidP="000E7937">
      <w:r>
        <w:t>|---|---|---|</w:t>
      </w:r>
    </w:p>
    <w:p w14:paraId="27F551D9" w14:textId="77777777" w:rsidR="000E7937" w:rsidRDefault="000E7937" w:rsidP="000E7937">
      <w:r>
        <w:t>| Founder / Majority Owner | 100% | Strategic Management &amp; Oversight |</w:t>
      </w:r>
    </w:p>
    <w:p w14:paraId="0951B2CC" w14:textId="77777777" w:rsidR="000E7937" w:rsidRDefault="000E7937" w:rsidP="000E7937">
      <w:r>
        <w:t>2.2 Capital Contribution</w:t>
      </w:r>
    </w:p>
    <w:p w14:paraId="1E450218" w14:textId="77777777" w:rsidR="000E7937" w:rsidRDefault="000E7937" w:rsidP="000E7937">
      <w:r>
        <w:t>The Company’s capital base is comprised of foundational equity, owner reinvestment, and dedicated capital expenditure (CAPEX) for project development. Capital deployed to date covers:</w:t>
      </w:r>
    </w:p>
    <w:p w14:paraId="586E1F38" w14:textId="77777777" w:rsidR="000E7937" w:rsidRDefault="000E7937" w:rsidP="000E7937">
      <w:r>
        <w:t xml:space="preserve"> * Industrial site preparation</w:t>
      </w:r>
    </w:p>
    <w:p w14:paraId="13B092A5" w14:textId="77777777" w:rsidR="000E7937" w:rsidRDefault="000E7937" w:rsidP="000E7937">
      <w:r>
        <w:t xml:space="preserve"> * Essential infrastructure development</w:t>
      </w:r>
    </w:p>
    <w:p w14:paraId="77F67B9C" w14:textId="77777777" w:rsidR="000E7937" w:rsidRDefault="000E7937" w:rsidP="000E7937">
      <w:r>
        <w:t xml:space="preserve"> * Administrative and project-readiness documentation</w:t>
      </w:r>
    </w:p>
    <w:p w14:paraId="45F10E4D" w14:textId="77777777" w:rsidR="000E7937" w:rsidRDefault="000E7937" w:rsidP="000E7937">
      <w:r>
        <w:t>3. Post-Investment Evolution</w:t>
      </w:r>
    </w:p>
    <w:p w14:paraId="4BBE78C3" w14:textId="77777777" w:rsidR="000E7937" w:rsidRDefault="000E7937" w:rsidP="000E7937">
      <w:r>
        <w:t>To accommodate institutional capital requirements and align incentives for high-level management, the Company has modeled a target post-investment ownership structure. This model is designed to preserve strategic control for the founder while fostering growth through external partnership.</w:t>
      </w:r>
    </w:p>
    <w:p w14:paraId="652BB40B" w14:textId="77777777" w:rsidR="000E7937" w:rsidRDefault="000E7937" w:rsidP="000E7937">
      <w:r>
        <w:t>3.1 Proposed Post-Investment Structure</w:t>
      </w:r>
    </w:p>
    <w:p w14:paraId="58A6F6B7" w14:textId="77777777" w:rsidR="000E7937" w:rsidRDefault="000E7937" w:rsidP="000E7937">
      <w:r>
        <w:t>| Shareholder | Targeted Ownership (%) | Role |</w:t>
      </w:r>
    </w:p>
    <w:p w14:paraId="1853B9D4" w14:textId="77777777" w:rsidR="000E7937" w:rsidRDefault="000E7937" w:rsidP="000E7937">
      <w:r>
        <w:t>|---|---|---|</w:t>
      </w:r>
    </w:p>
    <w:p w14:paraId="5F0CAA58" w14:textId="77777777" w:rsidR="000E7937" w:rsidRDefault="000E7937" w:rsidP="000E7937">
      <w:r>
        <w:t>| Founder | 60–70% | Strategic Management |</w:t>
      </w:r>
    </w:p>
    <w:p w14:paraId="03EFD1E2" w14:textId="77777777" w:rsidR="000E7937" w:rsidRDefault="000E7937" w:rsidP="000E7937">
      <w:r>
        <w:t>| Strategic Investor | 20–30% | Capital &amp; Industrial Partnership |</w:t>
      </w:r>
    </w:p>
    <w:p w14:paraId="22536B66" w14:textId="77777777" w:rsidR="000E7937" w:rsidRDefault="000E7937" w:rsidP="000E7937">
      <w:r>
        <w:lastRenderedPageBreak/>
        <w:t>| Employee Share Option Pool | 5–10% | Incentive &amp; Retention |</w:t>
      </w:r>
    </w:p>
    <w:p w14:paraId="754BE68B" w14:textId="77777777" w:rsidR="000E7937" w:rsidRDefault="000E7937" w:rsidP="000E7937">
      <w:r>
        <w:t>4. Governance and Transparency Principles</w:t>
      </w:r>
    </w:p>
    <w:p w14:paraId="7BD84F10" w14:textId="77777777" w:rsidR="000E7937" w:rsidRDefault="000E7937" w:rsidP="000E7937">
      <w:r>
        <w:t>ARS operates under a commitment to rigorous corporate governance, ensuring that capital is utilized exclusively for the advancement of industrial capacity and operational efficiency.</w:t>
      </w:r>
    </w:p>
    <w:p w14:paraId="345E20A9" w14:textId="77777777" w:rsidR="000E7937" w:rsidRDefault="000E7937" w:rsidP="000E7937">
      <w:r>
        <w:t xml:space="preserve"> * Ownership Transparency: All equity interests are clearly defined and documented in accordance with the laws of Montenegro.</w:t>
      </w:r>
    </w:p>
    <w:p w14:paraId="1A17B303" w14:textId="77777777" w:rsidR="000E7937" w:rsidRDefault="000E7937" w:rsidP="000E7937">
      <w:r>
        <w:t xml:space="preserve"> * Strategic Openness: The Company maintains an active posture regarding partnerships with investors who provide both capital and value-added expertise in industrial production.</w:t>
      </w:r>
    </w:p>
    <w:p w14:paraId="1A3B35BC" w14:textId="77777777" w:rsidR="000E7937" w:rsidRDefault="000E7937" w:rsidP="000E7937">
      <w:r>
        <w:t xml:space="preserve"> * Institutional Readiness: For the purpose of due diligence, the Company provides full access to its corporate registry filings, founding acts, and capital records.</w:t>
      </w:r>
    </w:p>
    <w:p w14:paraId="6C893740" w14:textId="77777777" w:rsidR="000E7937" w:rsidRDefault="000E7937" w:rsidP="000E7937">
      <w:r>
        <w:t>5. Strategic Implications</w:t>
      </w:r>
    </w:p>
    <w:p w14:paraId="671976CD" w14:textId="77777777" w:rsidR="000E7937" w:rsidRDefault="000E7937" w:rsidP="000E7937">
      <w:r>
        <w:t>A clear ownership framework provides the Company with significant strategic advantages, including:</w:t>
      </w:r>
    </w:p>
    <w:p w14:paraId="56EF8D88" w14:textId="77777777" w:rsidR="000E7937" w:rsidRDefault="000E7937" w:rsidP="000E7937">
      <w:r>
        <w:t xml:space="preserve"> * Operational Agility: Enables streamlined, efficient strategic decision-making.</w:t>
      </w:r>
    </w:p>
    <w:p w14:paraId="3F158C4C" w14:textId="77777777" w:rsidR="000E7937" w:rsidRDefault="000E7937" w:rsidP="000E7937">
      <w:r>
        <w:t xml:space="preserve"> * Capital Market Readiness: Simplifies the process for future fundraising and institutional debt financing.</w:t>
      </w:r>
    </w:p>
    <w:p w14:paraId="38B41D0C" w14:textId="77777777" w:rsidR="000E7937" w:rsidRDefault="000E7937" w:rsidP="000E7937">
      <w:r>
        <w:t xml:space="preserve"> * Investor Trust: Demonstrates a commitment to high-standard corporate governance, which is essential for engaging with international financial institutions.</w:t>
      </w:r>
    </w:p>
    <w:p w14:paraId="70CB1C3D" w14:textId="77777777" w:rsidR="000E7937" w:rsidRDefault="000E7937" w:rsidP="000E7937">
      <w:r>
        <w:t>Change Log / Key Improvements</w:t>
      </w:r>
    </w:p>
    <w:p w14:paraId="3B0749EB" w14:textId="77777777" w:rsidR="000E7937" w:rsidRDefault="000E7937" w:rsidP="000E7937">
      <w:r>
        <w:t xml:space="preserve"> * Professionalization: Standardized all terminology into formal English suitable for an international data room.</w:t>
      </w:r>
    </w:p>
    <w:p w14:paraId="21AB9CA8" w14:textId="77777777" w:rsidR="000E7937" w:rsidRDefault="000E7937" w:rsidP="000E7937">
      <w:r>
        <w:t xml:space="preserve"> * Clarity of Structure: Transformed the ownership narrative into structured tables, emphasizing the evolution from a founder-led phase to an institutional-ready phase.</w:t>
      </w:r>
    </w:p>
    <w:p w14:paraId="4FA59C2B" w14:textId="77777777" w:rsidR="000E7937" w:rsidRDefault="000E7937" w:rsidP="000E7937">
      <w:r>
        <w:t xml:space="preserve"> * Governance Emphasis: Explicitly linked the transparency of the shareholding structure to the Company's ability to attract institutional financing and development banks.</w:t>
      </w:r>
    </w:p>
    <w:p w14:paraId="1F64EDDF" w14:textId="77777777" w:rsidR="000E7937" w:rsidRDefault="000E7937" w:rsidP="000E7937">
      <w:r>
        <w:t xml:space="preserve"> * Conciseness: Focused on investor-relevant data, such as capital contribution origins and future-state equity modeling.</w:t>
      </w:r>
    </w:p>
    <w:p w14:paraId="7F996165" w14:textId="7E064C17" w:rsidR="000E7937" w:rsidRDefault="000E7937">
      <w:r>
        <w:t>Would you like me to proceed with drafting the "ARS_03 — Corporate Governance Charter," or would you prefer that I develop an "Equity Offering Summary" document to accompany these materials?</w:t>
      </w:r>
    </w:p>
    <w:sectPr w:rsidR="000E79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937"/>
    <w:rsid w:val="000E7937"/>
    <w:rsid w:val="0013070C"/>
    <w:rsid w:val="00826D15"/>
    <w:rsid w:val="00ED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351310F"/>
  <w15:chartTrackingRefBased/>
  <w15:docId w15:val="{C300EAD5-68DC-DD47-94CF-6A8BA62D3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9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9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9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9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9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9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9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9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9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9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2</cp:revision>
  <dcterms:created xsi:type="dcterms:W3CDTF">2026-05-05T02:06:00Z</dcterms:created>
  <dcterms:modified xsi:type="dcterms:W3CDTF">2026-05-05T02:06:00Z</dcterms:modified>
</cp:coreProperties>
</file>