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 GRID – IC MEMO v3 FINAL</w:t>
      </w:r>
    </w:p>
    <w:p>
      <w:pPr>
        <w:pStyle w:val="Heading1"/>
      </w:pPr>
      <w:r>
        <w:t>Executive Summary</w:t>
      </w:r>
    </w:p>
    <w:p>
      <w:r>
        <w:t>CAPEX €43.56m with strong DSCR and IRR. Financeable project.</w:t>
      </w:r>
    </w:p>
    <w:p>
      <w:pPr>
        <w:pStyle w:val="Heading1"/>
      </w:pPr>
      <w:r>
        <w:t>Overview</w:t>
      </w:r>
    </w:p>
    <w:p>
      <w:r>
        <w:t>ARS Metal DOO with ADS Ankara production base.</w:t>
      </w:r>
    </w:p>
    <w:p>
      <w:pPr>
        <w:pStyle w:val="Heading1"/>
      </w:pPr>
      <w:r>
        <w:t>Financials</w:t>
      </w:r>
    </w:p>
    <w:p>
      <w:r>
        <w:t>DSCR above covenant. Equity IRR ~38%.</w:t>
      </w:r>
    </w:p>
    <w:p>
      <w:pPr>
        <w:pStyle w:val="Heading1"/>
      </w:pPr>
      <w:r>
        <w:t>Risks</w:t>
      </w:r>
    </w:p>
    <w:p>
      <w:r>
        <w:t>Main risk: model audit completion.</w:t>
      </w:r>
    </w:p>
    <w:p>
      <w:pPr>
        <w:pStyle w:val="Heading1"/>
      </w:pPr>
      <w:r>
        <w:t>Conclusion</w:t>
      </w:r>
    </w:p>
    <w:p>
      <w:r>
        <w:t>Recommendation: AMBER.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