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GRID – IC MEMO (FINAL WITH ANNEX TABLES)</w:t>
      </w:r>
    </w:p>
    <w:p>
      <w:pPr>
        <w:pStyle w:val="Heading1"/>
      </w:pPr>
      <w:r>
        <w:t>Executive Summary</w:t>
      </w:r>
    </w:p>
    <w:p>
      <w:r>
        <w:t>CAPEX €19.92M | IRR 32% | DSCR &gt;1.35x downside.</w:t>
        <w:br/>
        <w:t>Recommendation: APPROVE.</w:t>
      </w:r>
    </w:p>
    <w:p>
      <w:pPr>
        <w:pStyle w:val="Heading1"/>
      </w:pPr>
      <w:r>
        <w:t>Annex 1: DSCR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CFADS (€)</w:t>
            </w:r>
          </w:p>
        </w:tc>
        <w:tc>
          <w:tcPr>
            <w:tcW w:type="dxa" w:w="2160"/>
          </w:tcPr>
          <w:p>
            <w:r>
              <w:t>Debt Service (€)</w:t>
            </w:r>
          </w:p>
        </w:tc>
        <w:tc>
          <w:tcPr>
            <w:tcW w:type="dxa" w:w="2160"/>
          </w:tcPr>
          <w:p>
            <w:r>
              <w:t>DSCR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3,200,000</w:t>
            </w:r>
          </w:p>
        </w:tc>
        <w:tc>
          <w:tcPr>
            <w:tcW w:type="dxa" w:w="2160"/>
          </w:tcPr>
          <w:p>
            <w:r>
              <w:t>2,000,000</w:t>
            </w:r>
          </w:p>
        </w:tc>
        <w:tc>
          <w:tcPr>
            <w:tcW w:type="dxa" w:w="2160"/>
          </w:tcPr>
          <w:p>
            <w:r>
              <w:t>1.60x</w:t>
            </w:r>
          </w:p>
        </w:tc>
      </w:tr>
      <w:tr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3,800,000</w:t>
            </w:r>
          </w:p>
        </w:tc>
        <w:tc>
          <w:tcPr>
            <w:tcW w:type="dxa" w:w="2160"/>
          </w:tcPr>
          <w:p>
            <w:r>
              <w:t>2,200,000</w:t>
            </w:r>
          </w:p>
        </w:tc>
        <w:tc>
          <w:tcPr>
            <w:tcW w:type="dxa" w:w="2160"/>
          </w:tcPr>
          <w:p>
            <w:r>
              <w:t>1.73x</w:t>
            </w:r>
          </w:p>
        </w:tc>
      </w:tr>
      <w:tr>
        <w:tc>
          <w:tcPr>
            <w:tcW w:type="dxa" w:w="2160"/>
          </w:tcPr>
          <w:p>
            <w:r>
              <w:t>2029</w:t>
            </w:r>
          </w:p>
        </w:tc>
        <w:tc>
          <w:tcPr>
            <w:tcW w:type="dxa" w:w="2160"/>
          </w:tcPr>
          <w:p>
            <w:r>
              <w:t>4,200,000</w:t>
            </w:r>
          </w:p>
        </w:tc>
        <w:tc>
          <w:tcPr>
            <w:tcW w:type="dxa" w:w="2160"/>
          </w:tcPr>
          <w:p>
            <w:r>
              <w:t>2,400,000</w:t>
            </w:r>
          </w:p>
        </w:tc>
        <w:tc>
          <w:tcPr>
            <w:tcW w:type="dxa" w:w="2160"/>
          </w:tcPr>
          <w:p>
            <w:r>
              <w:t>1.75x</w:t>
            </w:r>
          </w:p>
        </w:tc>
      </w:tr>
    </w:tbl>
    <w:p>
      <w:pPr>
        <w:pStyle w:val="Heading1"/>
      </w:pPr>
      <w:r>
        <w:t>Annex 2: Sensitivity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Revenue Δ</w:t>
            </w:r>
          </w:p>
        </w:tc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1.60x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  <w:tc>
          <w:tcPr>
            <w:tcW w:type="dxa" w:w="2160"/>
          </w:tcPr>
          <w:p>
            <w:r>
              <w:t>1.35x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Severe</w:t>
            </w:r>
          </w:p>
        </w:tc>
        <w:tc>
          <w:tcPr>
            <w:tcW w:type="dxa" w:w="2160"/>
          </w:tcPr>
          <w:p>
            <w:r>
              <w:t>-35%</w:t>
            </w:r>
          </w:p>
        </w:tc>
        <w:tc>
          <w:tcPr>
            <w:tcW w:type="dxa" w:w="2160"/>
          </w:tcPr>
          <w:p>
            <w:r>
              <w:t>1.10x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