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TITAN GRID – INVESTMENT COMMITTEE MEMORANDUM</w:t>
      </w:r>
    </w:p>
    <w:p>
      <w:pPr>
        <w:pStyle w:val="Heading1"/>
      </w:pPr>
      <w:r>
        <w:t>Executive Summary</w:t>
      </w:r>
    </w:p>
    <w:p>
      <w:r>
        <w:t>CAPEX: €19.92M | Senior Debt: €8.2M | IRR: 32% | Payback: 4.8y</w:t>
        <w:br/>
        <w:t>Recommendation: APPROVE subject to CPs.</w:t>
        <w:br/>
        <w:t>Project demonstrates strong DSCR resilience and EU strategic relevance.</w:t>
      </w:r>
    </w:p>
    <w:p>
      <w:pPr>
        <w:pStyle w:val="Heading1"/>
      </w:pPr>
      <w:r>
        <w:t>Transaction Overview</w:t>
      </w:r>
    </w:p>
    <w:p>
      <w:r>
        <w:t>Financing includes senior secured debt, sponsor equity, and grant component.</w:t>
        <w:br/>
        <w:t>Use of funds allocated to civil works, equipment, solar and pre-operational costs.</w:t>
      </w:r>
    </w:p>
    <w:p>
      <w:pPr>
        <w:pStyle w:val="Heading1"/>
      </w:pPr>
      <w:r>
        <w:t>Project Description</w:t>
      </w:r>
    </w:p>
    <w:p>
      <w:r>
        <w:t>Manufacturing of transformer tanks (10–400 MVA) in Montenegro.</w:t>
        <w:br/>
        <w:t>Near-shoring strategy targeting EU OEMs with 3–5 day delivery capability.</w:t>
      </w:r>
    </w:p>
    <w:p>
      <w:pPr>
        <w:pStyle w:val="Heading1"/>
      </w:pPr>
      <w:r>
        <w:t>Market &amp; Strategy</w:t>
      </w:r>
    </w:p>
    <w:p>
      <w:r>
        <w:t>Driven by EU grid expansion and supply shortages.</w:t>
        <w:br/>
        <w:t>Competitive advantage: reduced lead times, modular production, cost control.</w:t>
      </w:r>
    </w:p>
    <w:p>
      <w:pPr>
        <w:pStyle w:val="Heading1"/>
      </w:pPr>
      <w:r>
        <w:t>Financial Analysis</w:t>
      </w:r>
    </w:p>
    <w:p>
      <w:r>
        <w:t>EBITDA margin: ~28–30%</w:t>
        <w:br/>
        <w:t>Stable CFADS generation</w:t>
        <w:br/>
        <w:t>Steel cost fully passed through to clients.</w:t>
      </w:r>
    </w:p>
    <w:p>
      <w:pPr>
        <w:pStyle w:val="Heading1"/>
      </w:pPr>
      <w:r>
        <w:t>Credit Metrics</w:t>
      </w:r>
    </w:p>
    <w:p>
      <w:r>
        <w:t>Min DSCR: ~1.6x (Base)</w:t>
        <w:br/>
        <w:t>Downside DSCR: &gt;1.35x</w:t>
        <w:br/>
        <w:t>LLCR &gt;2.5x, PLCR &gt;3.0x</w:t>
        <w:br/>
        <w:t>DSRA: 6 months coverage.</w:t>
      </w:r>
    </w:p>
    <w:p>
      <w:pPr>
        <w:pStyle w:val="Heading1"/>
      </w:pPr>
      <w:r>
        <w:t>Risk Assessment</w:t>
      </w:r>
    </w:p>
    <w:p>
      <w:r>
        <w:t>Volume risk mitigated by phased ramp-up.</w:t>
        <w:br/>
        <w:t>Execution risk mitigated via modular CAPEX.</w:t>
        <w:br/>
        <w:t>Energy risk mitigated through solar integration.</w:t>
      </w:r>
    </w:p>
    <w:p>
      <w:pPr>
        <w:pStyle w:val="Heading1"/>
      </w:pPr>
      <w:r>
        <w:t>Downside Case</w:t>
      </w:r>
    </w:p>
    <w:p>
      <w:r>
        <w:t>Stress: -20% revenue, -20% volume, +15% OPEX.</w:t>
        <w:br/>
        <w:t>Result: DSCR remains compliant, liquidity stable.</w:t>
      </w:r>
    </w:p>
    <w:p>
      <w:pPr>
        <w:pStyle w:val="Heading1"/>
      </w:pPr>
      <w:r>
        <w:t>ESG Alignment</w:t>
      </w:r>
    </w:p>
    <w:p>
      <w:r>
        <w:t>Aligned with EU Taxonomy and EIB/EBRD climate priorities.</w:t>
        <w:br/>
        <w:t>CO2 reduction via localized production and energy efficiency.</w:t>
      </w:r>
    </w:p>
    <w:p>
      <w:pPr>
        <w:pStyle w:val="Heading1"/>
      </w:pPr>
      <w:r>
        <w:t>Conditions Precedent</w:t>
      </w:r>
    </w:p>
    <w:p>
      <w:r>
        <w:t>EPC contract, equity commitment, permits, offtake validation, grant confirmation.</w:t>
      </w:r>
    </w:p>
    <w:p>
      <w:pPr>
        <w:pStyle w:val="Heading1"/>
      </w:pPr>
      <w:r>
        <w:t>Final Recommendation</w:t>
      </w:r>
    </w:p>
    <w:p>
      <w:r>
        <w:t>Approve financing subject to CP fulfillment.</w:t>
        <w:br/>
        <w:t>Project is bankable with strong downside protection.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