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Black" w:hAnsi="Arial Black"/>
          <w:b w:val="0"/>
          <w:color w:val="000000"/>
          <w:sz w:val="44"/>
        </w:rPr>
        <w:t>COLLATERAL OVERVIEW: LENDER SECURITY</w:t>
      </w:r>
    </w:p>
    <w:p>
      <w:pPr>
        <w:jc w:val="left"/>
      </w:pPr>
      <w:r>
        <w:rPr>
          <w:rFonts w:ascii="Calibri" w:hAnsi="Calibri"/>
          <w:b w:val="0"/>
          <w:color w:val="444444"/>
          <w:sz w:val="20"/>
        </w:rPr>
        <w:t>Industrial project finance collateral package summary prepared for internal lender review.</w:t>
      </w:r>
    </w:p>
    <w:p>
      <w:pPr>
        <w:pBdr>
          <w:bottom w:val="single" w:sz="10" w:space="1" w:color="7F7F7F"/>
        </w:pBdr>
      </w:pPr>
    </w:p>
    <w:p>
      <w:pPr>
        <w:pStyle w:val="Heading1"/>
      </w:pPr>
      <w:r>
        <w:rPr>
          <w:rFonts w:ascii="Arial" w:hAnsi="Arial"/>
          <w:b/>
          <w:color w:val="444444"/>
          <w:sz w:val="26"/>
        </w:rPr>
        <w:t>0.0 SECURITY PACKAGE SUMMARY</w:t>
      </w:r>
    </w:p>
    <w:tbl>
      <w:tblPr>
        <w:tblStyle w:val="TableGrid"/>
        <w:tblW w:type="auto" w:w="0"/>
        <w:jc w:val="center"/>
        <w:tblLayout w:type="fixed"/>
        <w:tblLook w:firstColumn="1" w:firstRow="1" w:lastColumn="0" w:lastRow="0" w:noHBand="0" w:noVBand="1" w:val="04A0"/>
      </w:tblPr>
      <w:tblGrid>
        <w:gridCol w:w="2381"/>
        <w:gridCol w:w="2381"/>
        <w:gridCol w:w="2721"/>
        <w:gridCol w:w="2041"/>
      </w:tblGrid>
      <w:tr>
        <w:tc>
          <w:tcPr>
            <w:tcW w:type="dxa" w:w="2592"/>
            <w:vAlign w:val="center"/>
            <w:shd w:fill="1F4E78"/>
          </w:tcPr>
          <w:p>
            <w:pPr>
              <w:jc w:val="center"/>
            </w:pPr>
            <w:r/>
            <w:r>
              <w:rPr>
                <w:rFonts w:ascii="Arial" w:hAnsi="Arial"/>
                <w:b/>
                <w:color w:val="FFFFFF"/>
                <w:sz w:val="18"/>
              </w:rPr>
              <w:t>Senior Debt Coverage</w:t>
            </w:r>
          </w:p>
        </w:tc>
        <w:tc>
          <w:tcPr>
            <w:tcW w:type="dxa" w:w="2592"/>
            <w:vAlign w:val="center"/>
            <w:shd w:fill="1F4E78"/>
          </w:tcPr>
          <w:p>
            <w:pPr>
              <w:jc w:val="center"/>
            </w:pPr>
            <w:r/>
            <w:r>
              <w:rPr>
                <w:rFonts w:ascii="Arial" w:hAnsi="Arial"/>
                <w:b/>
                <w:color w:val="FFFFFF"/>
                <w:sz w:val="18"/>
              </w:rPr>
              <w:t>Primary Security</w:t>
            </w:r>
          </w:p>
        </w:tc>
        <w:tc>
          <w:tcPr>
            <w:tcW w:type="dxa" w:w="2592"/>
            <w:vAlign w:val="center"/>
            <w:shd w:fill="1F4E78"/>
          </w:tcPr>
          <w:p>
            <w:pPr>
              <w:jc w:val="center"/>
            </w:pPr>
            <w:r/>
            <w:r>
              <w:rPr>
                <w:rFonts w:ascii="Arial" w:hAnsi="Arial"/>
                <w:b/>
                <w:color w:val="FFFFFF"/>
                <w:sz w:val="18"/>
              </w:rPr>
              <w:t>Perfection Status</w:t>
            </w:r>
          </w:p>
        </w:tc>
        <w:tc>
          <w:tcPr>
            <w:tcW w:type="dxa" w:w="2592"/>
            <w:vAlign w:val="center"/>
            <w:shd w:fill="1F4E78"/>
          </w:tcPr>
          <w:p>
            <w:pPr>
              <w:jc w:val="center"/>
            </w:pPr>
            <w:r/>
            <w:r>
              <w:rPr>
                <w:rFonts w:ascii="Arial" w:hAnsi="Arial"/>
                <w:b/>
                <w:color w:val="FFFFFF"/>
                <w:sz w:val="18"/>
              </w:rPr>
              <w:t>Current Status</w:t>
            </w:r>
          </w:p>
        </w:tc>
      </w:tr>
      <w:tr>
        <w:tc>
          <w:tcPr>
            <w:tcW w:type="dxa" w:w="2592"/>
            <w:vAlign w:val="center"/>
          </w:tcPr>
          <w:p>
            <w:pPr>
              <w:jc w:val="center"/>
            </w:pPr>
            <w:r/>
            <w:r>
              <w:rPr>
                <w:rFonts w:ascii="Calibri" w:hAnsi="Calibri"/>
                <w:b w:val="0"/>
                <w:sz w:val="18"/>
              </w:rPr>
              <w:t>≥120% target cover</w:t>
            </w:r>
          </w:p>
        </w:tc>
        <w:tc>
          <w:tcPr>
            <w:tcW w:type="dxa" w:w="2592"/>
            <w:vAlign w:val="center"/>
          </w:tcPr>
          <w:p>
            <w:pPr>
              <w:jc w:val="center"/>
            </w:pPr>
            <w:r/>
            <w:r>
              <w:rPr>
                <w:rFonts w:ascii="Calibri" w:hAnsi="Calibri"/>
                <w:b w:val="0"/>
                <w:sz w:val="18"/>
              </w:rPr>
              <w:t>Mortgage + pledge stack</w:t>
            </w:r>
          </w:p>
        </w:tc>
        <w:tc>
          <w:tcPr>
            <w:tcW w:type="dxa" w:w="2592"/>
            <w:vAlign w:val="center"/>
          </w:tcPr>
          <w:p>
            <w:pPr>
              <w:jc w:val="center"/>
            </w:pPr>
            <w:r/>
            <w:r>
              <w:rPr>
                <w:rFonts w:ascii="Calibri" w:hAnsi="Calibri"/>
                <w:b w:val="0"/>
                <w:sz w:val="18"/>
              </w:rPr>
              <w:t>Substantially complete / valuation pending</w:t>
            </w:r>
          </w:p>
        </w:tc>
        <w:tc>
          <w:tcPr>
            <w:tcW w:type="dxa" w:w="2592"/>
            <w:vAlign w:val="center"/>
          </w:tcPr>
          <w:p>
            <w:pPr>
              <w:jc w:val="center"/>
            </w:pPr>
            <w:r/>
            <w:r>
              <w:rPr>
                <w:rFonts w:ascii="Calibri" w:hAnsi="Calibri"/>
                <w:b w:val="0"/>
                <w:sz w:val="18"/>
              </w:rPr>
              <w:t>Conditional</w:t>
            </w:r>
          </w:p>
        </w:tc>
      </w:tr>
    </w:tbl>
    <w:p/>
    <w:p>
      <w:pPr>
        <w:pStyle w:val="Heading1"/>
      </w:pPr>
      <w:r>
        <w:rPr>
          <w:rFonts w:ascii="Arial" w:hAnsi="Arial"/>
          <w:b/>
          <w:color w:val="444444"/>
          <w:sz w:val="26"/>
        </w:rPr>
        <w:t>1.0 REGISTER OF CHARGED ASSETS</w:t>
      </w:r>
    </w:p>
    <w:tbl>
      <w:tblPr>
        <w:tblStyle w:val="TableGrid"/>
        <w:tblW w:type="auto" w:w="0"/>
        <w:jc w:val="center"/>
        <w:tblLayout w:type="fixed"/>
        <w:tblLook w:firstColumn="1" w:firstRow="1" w:lastColumn="0" w:lastRow="0" w:noHBand="0" w:noVBand="1" w:val="04A0"/>
      </w:tblPr>
      <w:tblGrid>
        <w:gridCol w:w="2891"/>
        <w:gridCol w:w="2268"/>
        <w:gridCol w:w="1757"/>
        <w:gridCol w:w="1361"/>
        <w:gridCol w:w="2381"/>
        <w:gridCol w:w="1701"/>
      </w:tblGrid>
      <w:tr>
        <w:tc>
          <w:tcPr>
            <w:tcW w:type="dxa" w:w="1728"/>
            <w:vAlign w:val="center"/>
            <w:shd w:fill="1F4E78"/>
          </w:tcPr>
          <w:p>
            <w:pPr>
              <w:jc w:val="center"/>
            </w:pPr>
            <w:r/>
            <w:r>
              <w:rPr>
                <w:rFonts w:ascii="Arial" w:hAnsi="Arial"/>
                <w:b/>
                <w:color w:val="FFFFFF"/>
                <w:sz w:val="17"/>
              </w:rPr>
              <w:t>ASSET DESCRIPTION</w:t>
            </w:r>
          </w:p>
        </w:tc>
        <w:tc>
          <w:tcPr>
            <w:tcW w:type="dxa" w:w="1728"/>
            <w:vAlign w:val="center"/>
            <w:shd w:fill="1F4E78"/>
          </w:tcPr>
          <w:p>
            <w:pPr>
              <w:jc w:val="center"/>
            </w:pPr>
            <w:r/>
            <w:r>
              <w:rPr>
                <w:rFonts w:ascii="Arial" w:hAnsi="Arial"/>
                <w:b/>
                <w:color w:val="FFFFFF"/>
                <w:sz w:val="17"/>
              </w:rPr>
              <w:t>SECURITY TYPE</w:t>
            </w:r>
          </w:p>
        </w:tc>
        <w:tc>
          <w:tcPr>
            <w:tcW w:type="dxa" w:w="1728"/>
            <w:vAlign w:val="center"/>
            <w:shd w:fill="1F4E78"/>
          </w:tcPr>
          <w:p>
            <w:pPr>
              <w:jc w:val="center"/>
            </w:pPr>
            <w:r/>
            <w:r>
              <w:rPr>
                <w:rFonts w:ascii="Arial" w:hAnsi="Arial"/>
                <w:b/>
                <w:color w:val="FFFFFF"/>
                <w:sz w:val="17"/>
              </w:rPr>
              <w:t>VALUATION (€)</w:t>
            </w:r>
          </w:p>
        </w:tc>
        <w:tc>
          <w:tcPr>
            <w:tcW w:type="dxa" w:w="1728"/>
            <w:vAlign w:val="center"/>
            <w:shd w:fill="1F4E78"/>
          </w:tcPr>
          <w:p>
            <w:pPr>
              <w:jc w:val="center"/>
            </w:pPr>
            <w:r/>
            <w:r>
              <w:rPr>
                <w:rFonts w:ascii="Arial" w:hAnsi="Arial"/>
                <w:b/>
                <w:color w:val="FFFFFF"/>
                <w:sz w:val="17"/>
              </w:rPr>
              <w:t>LTV / ADVANCE</w:t>
            </w:r>
          </w:p>
        </w:tc>
        <w:tc>
          <w:tcPr>
            <w:tcW w:type="dxa" w:w="1728"/>
            <w:vAlign w:val="center"/>
            <w:shd w:fill="1F4E78"/>
          </w:tcPr>
          <w:p>
            <w:pPr>
              <w:jc w:val="center"/>
            </w:pPr>
            <w:r/>
            <w:r>
              <w:rPr>
                <w:rFonts w:ascii="Arial" w:hAnsi="Arial"/>
                <w:b/>
                <w:color w:val="FFFFFF"/>
                <w:sz w:val="17"/>
              </w:rPr>
              <w:t>PERFECTION STATUS</w:t>
            </w:r>
          </w:p>
        </w:tc>
        <w:tc>
          <w:tcPr>
            <w:tcW w:type="dxa" w:w="1728"/>
            <w:vAlign w:val="center"/>
            <w:shd w:fill="1F4E78"/>
          </w:tcPr>
          <w:p>
            <w:pPr>
              <w:jc w:val="center"/>
            </w:pPr>
            <w:r/>
            <w:r>
              <w:rPr>
                <w:rFonts w:ascii="Arial" w:hAnsi="Arial"/>
                <w:b/>
                <w:color w:val="FFFFFF"/>
                <w:sz w:val="17"/>
              </w:rPr>
              <w:t>LAST VALUATION DATE</w:t>
            </w:r>
          </w:p>
        </w:tc>
      </w:tr>
      <w:tr>
        <w:tc>
          <w:tcPr>
            <w:tcW w:type="dxa" w:w="2891"/>
            <w:vAlign w:val="center"/>
          </w:tcPr>
          <w:p>
            <w:pPr>
              <w:jc w:val="left"/>
            </w:pPr>
            <w:r/>
            <w:r>
              <w:rPr>
                <w:rFonts w:ascii="Calibri" w:hAnsi="Calibri"/>
                <w:b w:val="0"/>
                <w:sz w:val="18"/>
              </w:rPr>
              <w:t>Tuzi Site (22,742 m²)</w:t>
            </w:r>
          </w:p>
        </w:tc>
        <w:tc>
          <w:tcPr>
            <w:tcW w:type="dxa" w:w="2268"/>
            <w:vAlign w:val="center"/>
          </w:tcPr>
          <w:p>
            <w:pPr>
              <w:jc w:val="left"/>
            </w:pPr>
            <w:r/>
            <w:r>
              <w:rPr>
                <w:rFonts w:ascii="Calibri" w:hAnsi="Calibri"/>
                <w:b w:val="0"/>
                <w:sz w:val="18"/>
              </w:rPr>
              <w:t>1st Rank Mortgage</w:t>
            </w:r>
          </w:p>
        </w:tc>
        <w:tc>
          <w:tcPr>
            <w:tcW w:type="dxa" w:w="1757"/>
            <w:vAlign w:val="center"/>
          </w:tcPr>
          <w:p>
            <w:pPr>
              <w:jc w:val="center"/>
            </w:pPr>
            <w:r/>
            <w:r>
              <w:rPr>
                <w:rFonts w:ascii="Arial" w:hAnsi="Arial"/>
                <w:b/>
                <w:color w:val="0055A5"/>
                <w:sz w:val="18"/>
              </w:rPr>
              <w:t>3,200,000</w:t>
            </w:r>
          </w:p>
        </w:tc>
        <w:tc>
          <w:tcPr>
            <w:tcW w:type="dxa" w:w="1361"/>
            <w:vAlign w:val="center"/>
          </w:tcPr>
          <w:p>
            <w:pPr>
              <w:jc w:val="center"/>
            </w:pPr>
            <w:r/>
            <w:r>
              <w:rPr>
                <w:rFonts w:ascii="Calibri" w:hAnsi="Calibri"/>
                <w:b w:val="0"/>
                <w:sz w:val="18"/>
              </w:rPr>
              <w:t>40%</w:t>
            </w:r>
          </w:p>
        </w:tc>
        <w:tc>
          <w:tcPr>
            <w:tcW w:type="dxa" w:w="2381"/>
            <w:vAlign w:val="center"/>
          </w:tcPr>
          <w:p>
            <w:pPr>
              <w:jc w:val="left"/>
            </w:pPr>
            <w:r/>
            <w:r>
              <w:rPr>
                <w:rFonts w:ascii="Calibri" w:hAnsi="Calibri"/>
                <w:b w:val="0"/>
                <w:sz w:val="18"/>
              </w:rPr>
              <w:t>Filed / notarised</w:t>
            </w:r>
          </w:p>
        </w:tc>
        <w:tc>
          <w:tcPr>
            <w:tcW w:type="dxa" w:w="1701"/>
            <w:vAlign w:val="center"/>
          </w:tcPr>
          <w:p>
            <w:pPr>
              <w:jc w:val="center"/>
            </w:pPr>
            <w:r/>
            <w:r>
              <w:rPr>
                <w:rFonts w:ascii="Calibri" w:hAnsi="Calibri"/>
                <w:b w:val="0"/>
                <w:sz w:val="18"/>
              </w:rPr>
              <w:t>2026-02-15</w:t>
            </w:r>
          </w:p>
        </w:tc>
      </w:tr>
      <w:tr>
        <w:tc>
          <w:tcPr>
            <w:tcW w:type="dxa" w:w="2891"/>
            <w:vAlign w:val="center"/>
          </w:tcPr>
          <w:p>
            <w:pPr>
              <w:jc w:val="left"/>
            </w:pPr>
            <w:r/>
            <w:r>
              <w:rPr>
                <w:rFonts w:ascii="Calibri" w:hAnsi="Calibri"/>
                <w:b w:val="0"/>
                <w:sz w:val="18"/>
              </w:rPr>
              <w:t>Robotic Equipment (102 units)</w:t>
            </w:r>
          </w:p>
        </w:tc>
        <w:tc>
          <w:tcPr>
            <w:tcW w:type="dxa" w:w="2268"/>
            <w:vAlign w:val="center"/>
          </w:tcPr>
          <w:p>
            <w:pPr>
              <w:jc w:val="left"/>
            </w:pPr>
            <w:r/>
            <w:r>
              <w:rPr>
                <w:rFonts w:ascii="Calibri" w:hAnsi="Calibri"/>
                <w:b w:val="0"/>
                <w:sz w:val="18"/>
              </w:rPr>
              <w:t>Registered Pledge</w:t>
            </w:r>
          </w:p>
        </w:tc>
        <w:tc>
          <w:tcPr>
            <w:tcW w:type="dxa" w:w="1757"/>
            <w:vAlign w:val="center"/>
          </w:tcPr>
          <w:p>
            <w:pPr>
              <w:jc w:val="center"/>
            </w:pPr>
            <w:r/>
            <w:r>
              <w:rPr>
                <w:rFonts w:ascii="Arial" w:hAnsi="Arial"/>
                <w:b/>
                <w:color w:val="0055A5"/>
                <w:sz w:val="18"/>
              </w:rPr>
              <w:t>7,400,000</w:t>
            </w:r>
          </w:p>
        </w:tc>
        <w:tc>
          <w:tcPr>
            <w:tcW w:type="dxa" w:w="1361"/>
            <w:vAlign w:val="center"/>
          </w:tcPr>
          <w:p>
            <w:pPr>
              <w:jc w:val="center"/>
            </w:pPr>
            <w:r/>
            <w:r>
              <w:rPr>
                <w:rFonts w:ascii="Calibri" w:hAnsi="Calibri"/>
                <w:b w:val="0"/>
                <w:sz w:val="18"/>
              </w:rPr>
              <w:t>55%</w:t>
            </w:r>
          </w:p>
        </w:tc>
        <w:tc>
          <w:tcPr>
            <w:tcW w:type="dxa" w:w="2381"/>
            <w:vAlign w:val="center"/>
          </w:tcPr>
          <w:p>
            <w:pPr>
              <w:jc w:val="left"/>
            </w:pPr>
            <w:r/>
            <w:r>
              <w:rPr>
                <w:rFonts w:ascii="Calibri" w:hAnsi="Calibri"/>
                <w:b w:val="0"/>
                <w:sz w:val="18"/>
              </w:rPr>
              <w:t>Registry filing in place</w:t>
            </w:r>
          </w:p>
        </w:tc>
        <w:tc>
          <w:tcPr>
            <w:tcW w:type="dxa" w:w="1701"/>
            <w:vAlign w:val="center"/>
          </w:tcPr>
          <w:p>
            <w:pPr>
              <w:jc w:val="center"/>
            </w:pPr>
            <w:r/>
            <w:r>
              <w:rPr>
                <w:rFonts w:ascii="Calibri" w:hAnsi="Calibri"/>
                <w:b w:val="0"/>
                <w:sz w:val="18"/>
              </w:rPr>
              <w:t>2026-02-28</w:t>
            </w:r>
          </w:p>
        </w:tc>
      </w:tr>
      <w:tr>
        <w:tc>
          <w:tcPr>
            <w:tcW w:type="dxa" w:w="2891"/>
            <w:vAlign w:val="center"/>
          </w:tcPr>
          <w:p>
            <w:pPr>
              <w:jc w:val="left"/>
            </w:pPr>
            <w:r/>
            <w:r>
              <w:rPr>
                <w:rFonts w:ascii="Calibri" w:hAnsi="Calibri"/>
                <w:b w:val="0"/>
                <w:sz w:val="18"/>
              </w:rPr>
              <w:t>1.4 MWp Solar System</w:t>
            </w:r>
          </w:p>
        </w:tc>
        <w:tc>
          <w:tcPr>
            <w:tcW w:type="dxa" w:w="2268"/>
            <w:vAlign w:val="center"/>
          </w:tcPr>
          <w:p>
            <w:pPr>
              <w:jc w:val="left"/>
            </w:pPr>
            <w:r/>
            <w:r>
              <w:rPr>
                <w:rFonts w:ascii="Calibri" w:hAnsi="Calibri"/>
                <w:b w:val="0"/>
                <w:sz w:val="18"/>
              </w:rPr>
              <w:t>Asset Pledge</w:t>
            </w:r>
          </w:p>
        </w:tc>
        <w:tc>
          <w:tcPr>
            <w:tcW w:type="dxa" w:w="1757"/>
            <w:vAlign w:val="center"/>
          </w:tcPr>
          <w:p>
            <w:pPr>
              <w:jc w:val="center"/>
            </w:pPr>
            <w:r/>
            <w:r>
              <w:rPr>
                <w:rFonts w:ascii="Arial" w:hAnsi="Arial"/>
                <w:b/>
                <w:color w:val="0055A5"/>
                <w:sz w:val="18"/>
              </w:rPr>
              <w:t>1,800,000</w:t>
            </w:r>
          </w:p>
        </w:tc>
        <w:tc>
          <w:tcPr>
            <w:tcW w:type="dxa" w:w="1361"/>
            <w:vAlign w:val="center"/>
          </w:tcPr>
          <w:p>
            <w:pPr>
              <w:jc w:val="center"/>
            </w:pPr>
            <w:r/>
            <w:r>
              <w:rPr>
                <w:rFonts w:ascii="Calibri" w:hAnsi="Calibri"/>
                <w:b w:val="0"/>
                <w:sz w:val="18"/>
              </w:rPr>
              <w:t>50%</w:t>
            </w:r>
          </w:p>
        </w:tc>
        <w:tc>
          <w:tcPr>
            <w:tcW w:type="dxa" w:w="2381"/>
            <w:vAlign w:val="center"/>
          </w:tcPr>
          <w:p>
            <w:pPr>
              <w:jc w:val="left"/>
            </w:pPr>
            <w:r/>
            <w:r>
              <w:rPr>
                <w:rFonts w:ascii="Calibri" w:hAnsi="Calibri"/>
                <w:b w:val="0"/>
                <w:sz w:val="18"/>
              </w:rPr>
              <w:t>Security agreement executed</w:t>
            </w:r>
          </w:p>
        </w:tc>
        <w:tc>
          <w:tcPr>
            <w:tcW w:type="dxa" w:w="1701"/>
            <w:vAlign w:val="center"/>
          </w:tcPr>
          <w:p>
            <w:pPr>
              <w:jc w:val="center"/>
            </w:pPr>
            <w:r/>
            <w:r>
              <w:rPr>
                <w:rFonts w:ascii="Calibri" w:hAnsi="Calibri"/>
                <w:b w:val="0"/>
                <w:sz w:val="18"/>
              </w:rPr>
              <w:t>2026-01-31</w:t>
            </w:r>
          </w:p>
        </w:tc>
      </w:tr>
      <w:tr>
        <w:tc>
          <w:tcPr>
            <w:tcW w:type="dxa" w:w="2891"/>
            <w:vAlign w:val="center"/>
          </w:tcPr>
          <w:p>
            <w:pPr>
              <w:jc w:val="left"/>
            </w:pPr>
            <w:r/>
            <w:r>
              <w:rPr>
                <w:rFonts w:ascii="Calibri" w:hAnsi="Calibri"/>
                <w:b w:val="0"/>
                <w:sz w:val="18"/>
              </w:rPr>
              <w:t>Receivables (MAREL)</w:t>
            </w:r>
          </w:p>
        </w:tc>
        <w:tc>
          <w:tcPr>
            <w:tcW w:type="dxa" w:w="2268"/>
            <w:vAlign w:val="center"/>
          </w:tcPr>
          <w:p>
            <w:pPr>
              <w:jc w:val="left"/>
            </w:pPr>
            <w:r/>
            <w:r>
              <w:rPr>
                <w:rFonts w:ascii="Calibri" w:hAnsi="Calibri"/>
                <w:b w:val="0"/>
                <w:sz w:val="18"/>
              </w:rPr>
              <w:t>Assignment of Rights</w:t>
            </w:r>
          </w:p>
        </w:tc>
        <w:tc>
          <w:tcPr>
            <w:tcW w:type="dxa" w:w="1757"/>
            <w:vAlign w:val="center"/>
          </w:tcPr>
          <w:p>
            <w:pPr>
              <w:jc w:val="center"/>
            </w:pPr>
            <w:r/>
            <w:r>
              <w:rPr>
                <w:rFonts w:ascii="Arial" w:hAnsi="Arial"/>
                <w:b/>
                <w:color w:val="0055A5"/>
                <w:sz w:val="18"/>
              </w:rPr>
              <w:t>Floating base</w:t>
            </w:r>
          </w:p>
        </w:tc>
        <w:tc>
          <w:tcPr>
            <w:tcW w:type="dxa" w:w="1361"/>
            <w:vAlign w:val="center"/>
          </w:tcPr>
          <w:p>
            <w:pPr>
              <w:jc w:val="center"/>
            </w:pPr>
            <w:r/>
            <w:r>
              <w:rPr>
                <w:rFonts w:ascii="Calibri" w:hAnsi="Calibri"/>
                <w:b w:val="0"/>
                <w:sz w:val="18"/>
              </w:rPr>
              <w:t>N/A</w:t>
            </w:r>
          </w:p>
        </w:tc>
        <w:tc>
          <w:tcPr>
            <w:tcW w:type="dxa" w:w="2381"/>
            <w:vAlign w:val="center"/>
          </w:tcPr>
          <w:p>
            <w:pPr>
              <w:jc w:val="left"/>
            </w:pPr>
            <w:r/>
            <w:r>
              <w:rPr>
                <w:rFonts w:ascii="Calibri" w:hAnsi="Calibri"/>
                <w:b w:val="0"/>
                <w:sz w:val="18"/>
              </w:rPr>
              <w:t>Notice mechanics pending final sign-off</w:t>
            </w:r>
          </w:p>
        </w:tc>
        <w:tc>
          <w:tcPr>
            <w:tcW w:type="dxa" w:w="1701"/>
            <w:vAlign w:val="center"/>
          </w:tcPr>
          <w:p>
            <w:pPr>
              <w:jc w:val="center"/>
            </w:pPr>
            <w:r/>
            <w:r>
              <w:rPr>
                <w:rFonts w:ascii="Calibri" w:hAnsi="Calibri"/>
                <w:b w:val="0"/>
                <w:sz w:val="18"/>
              </w:rPr>
              <w:t>Rolling</w:t>
            </w:r>
          </w:p>
        </w:tc>
      </w:tr>
    </w:tbl>
    <w:p/>
    <w:p>
      <w:pPr>
        <w:pStyle w:val="Heading2"/>
      </w:pPr>
      <w:r>
        <w:rPr>
          <w:rFonts w:ascii="Arial" w:hAnsi="Arial"/>
          <w:b/>
          <w:color w:val="444444"/>
          <w:sz w:val="22"/>
        </w:rPr>
        <w:t>2.0 ENFORCEABILITY &amp; ASSET COVERAGE</w:t>
      </w:r>
    </w:p>
    <w:p>
      <w:pPr>
        <w:jc w:val="both"/>
      </w:pPr>
      <w:r>
        <w:rPr>
          <w:rFonts w:ascii="Calibri" w:hAnsi="Calibri"/>
          <w:b w:val="0"/>
          <w:sz w:val="20"/>
        </w:rPr>
        <w:t>The collateral package is structured to provide asset coverage of at least 120% of senior secured debt exposure. Security instruments are intended to be perfected in accordance with the laws of Montenegro and aligned, where applicable, with standard lender security expectations for institutional project finance. In an Event of Default scenario, the lender is expected to retain direct recourse to mortgaged land, pledged movable assets, assigned receivables, and share-level security, supporting both recoverability and business continuity.</w:t>
      </w:r>
    </w:p>
    <w:p/>
    <w:p>
      <w:pPr>
        <w:pStyle w:val="Heading2"/>
      </w:pPr>
      <w:r>
        <w:rPr>
          <w:rFonts w:ascii="Arial" w:hAnsi="Arial"/>
          <w:b/>
          <w:color w:val="444444"/>
          <w:sz w:val="22"/>
        </w:rPr>
        <w:t>3.0 RECOVERY WATERFALL (SIMPLIFIED)</w:t>
      </w:r>
    </w:p>
    <w:tbl>
      <w:tblPr>
        <w:tblStyle w:val="TableGrid"/>
        <w:tblW w:type="auto" w:w="0"/>
        <w:jc w:val="center"/>
        <w:tblLayout w:type="fixed"/>
        <w:tblLook w:firstColumn="1" w:firstRow="1" w:lastColumn="0" w:lastRow="0" w:noHBand="0" w:noVBand="1" w:val="04A0"/>
      </w:tblPr>
      <w:tblGrid>
        <w:gridCol w:w="1417"/>
        <w:gridCol w:w="3402"/>
        <w:gridCol w:w="4535"/>
      </w:tblGrid>
      <w:tr>
        <w:tc>
          <w:tcPr>
            <w:tcW w:type="dxa" w:w="3456"/>
            <w:vAlign w:val="center"/>
            <w:shd w:fill="5B9BD5"/>
          </w:tcPr>
          <w:p>
            <w:pPr>
              <w:jc w:val="center"/>
            </w:pPr>
            <w:r/>
            <w:r>
              <w:rPr>
                <w:rFonts w:ascii="Arial" w:hAnsi="Arial"/>
                <w:b/>
                <w:color w:val="FFFFFF"/>
                <w:sz w:val="17"/>
              </w:rPr>
              <w:t>Priority</w:t>
            </w:r>
          </w:p>
        </w:tc>
        <w:tc>
          <w:tcPr>
            <w:tcW w:type="dxa" w:w="3456"/>
            <w:vAlign w:val="center"/>
            <w:shd w:fill="5B9BD5"/>
          </w:tcPr>
          <w:p>
            <w:pPr>
              <w:jc w:val="center"/>
            </w:pPr>
            <w:r/>
            <w:r>
              <w:rPr>
                <w:rFonts w:ascii="Arial" w:hAnsi="Arial"/>
                <w:b/>
                <w:color w:val="FFFFFF"/>
                <w:sz w:val="17"/>
              </w:rPr>
              <w:t>Recovery Source</w:t>
            </w:r>
          </w:p>
        </w:tc>
        <w:tc>
          <w:tcPr>
            <w:tcW w:type="dxa" w:w="3456"/>
            <w:vAlign w:val="center"/>
            <w:shd w:fill="5B9BD5"/>
          </w:tcPr>
          <w:p>
            <w:pPr>
              <w:jc w:val="center"/>
            </w:pPr>
            <w:r/>
            <w:r>
              <w:rPr>
                <w:rFonts w:ascii="Arial" w:hAnsi="Arial"/>
                <w:b/>
                <w:color w:val="FFFFFF"/>
                <w:sz w:val="17"/>
              </w:rPr>
              <w:t>Comment</w:t>
            </w:r>
          </w:p>
        </w:tc>
      </w:tr>
      <w:tr>
        <w:tc>
          <w:tcPr>
            <w:tcW w:type="dxa" w:w="1417"/>
            <w:vAlign w:val="center"/>
          </w:tcPr>
          <w:p>
            <w:pPr>
              <w:jc w:val="center"/>
            </w:pPr>
            <w:r/>
            <w:r>
              <w:rPr>
                <w:rFonts w:ascii="Arial" w:hAnsi="Arial"/>
                <w:b/>
                <w:sz w:val="18"/>
              </w:rPr>
              <w:t>1</w:t>
            </w:r>
          </w:p>
        </w:tc>
        <w:tc>
          <w:tcPr>
            <w:tcW w:type="dxa" w:w="3402"/>
            <w:vAlign w:val="center"/>
          </w:tcPr>
          <w:p>
            <w:pPr>
              <w:jc w:val="left"/>
            </w:pPr>
            <w:r/>
            <w:r>
              <w:rPr>
                <w:rFonts w:ascii="Calibri" w:hAnsi="Calibri"/>
                <w:b w:val="0"/>
                <w:sz w:val="18"/>
              </w:rPr>
              <w:t>Cash collections / assigned receivables</w:t>
            </w:r>
          </w:p>
        </w:tc>
        <w:tc>
          <w:tcPr>
            <w:tcW w:type="dxa" w:w="4535"/>
            <w:vAlign w:val="center"/>
          </w:tcPr>
          <w:p>
            <w:pPr>
              <w:jc w:val="left"/>
            </w:pPr>
            <w:r/>
            <w:r>
              <w:rPr>
                <w:rFonts w:ascii="Calibri" w:hAnsi="Calibri"/>
                <w:b w:val="0"/>
                <w:sz w:val="18"/>
              </w:rPr>
              <w:t>Fastest monetisation channel subject to notice and control mechanics.</w:t>
            </w:r>
          </w:p>
        </w:tc>
      </w:tr>
      <w:tr>
        <w:tc>
          <w:tcPr>
            <w:tcW w:type="dxa" w:w="1417"/>
            <w:vAlign w:val="center"/>
          </w:tcPr>
          <w:p>
            <w:pPr>
              <w:jc w:val="center"/>
            </w:pPr>
            <w:r/>
            <w:r>
              <w:rPr>
                <w:rFonts w:ascii="Arial" w:hAnsi="Arial"/>
                <w:b/>
                <w:sz w:val="18"/>
              </w:rPr>
              <w:t>2</w:t>
            </w:r>
          </w:p>
        </w:tc>
        <w:tc>
          <w:tcPr>
            <w:tcW w:type="dxa" w:w="3402"/>
            <w:vAlign w:val="center"/>
          </w:tcPr>
          <w:p>
            <w:pPr>
              <w:jc w:val="left"/>
            </w:pPr>
            <w:r/>
            <w:r>
              <w:rPr>
                <w:rFonts w:ascii="Calibri" w:hAnsi="Calibri"/>
                <w:b w:val="0"/>
                <w:sz w:val="18"/>
              </w:rPr>
              <w:t>Enforcement over movable assets</w:t>
            </w:r>
          </w:p>
        </w:tc>
        <w:tc>
          <w:tcPr>
            <w:tcW w:type="dxa" w:w="4535"/>
            <w:vAlign w:val="center"/>
          </w:tcPr>
          <w:p>
            <w:pPr>
              <w:jc w:val="left"/>
            </w:pPr>
            <w:r/>
            <w:r>
              <w:rPr>
                <w:rFonts w:ascii="Calibri" w:hAnsi="Calibri"/>
                <w:b w:val="0"/>
                <w:sz w:val="18"/>
              </w:rPr>
              <w:t>Robotic and production equipment expected to preserve secondary market value.</w:t>
            </w:r>
          </w:p>
        </w:tc>
      </w:tr>
      <w:tr>
        <w:tc>
          <w:tcPr>
            <w:tcW w:type="dxa" w:w="1417"/>
            <w:vAlign w:val="center"/>
          </w:tcPr>
          <w:p>
            <w:pPr>
              <w:jc w:val="center"/>
            </w:pPr>
            <w:r/>
            <w:r>
              <w:rPr>
                <w:rFonts w:ascii="Arial" w:hAnsi="Arial"/>
                <w:b/>
                <w:sz w:val="18"/>
              </w:rPr>
              <w:t>3</w:t>
            </w:r>
          </w:p>
        </w:tc>
        <w:tc>
          <w:tcPr>
            <w:tcW w:type="dxa" w:w="3402"/>
            <w:vAlign w:val="center"/>
          </w:tcPr>
          <w:p>
            <w:pPr>
              <w:jc w:val="left"/>
            </w:pPr>
            <w:r/>
            <w:r>
              <w:rPr>
                <w:rFonts w:ascii="Calibri" w:hAnsi="Calibri"/>
                <w:b w:val="0"/>
                <w:sz w:val="18"/>
              </w:rPr>
              <w:t>Mortgage enforcement over land</w:t>
            </w:r>
          </w:p>
        </w:tc>
        <w:tc>
          <w:tcPr>
            <w:tcW w:type="dxa" w:w="4535"/>
            <w:vAlign w:val="center"/>
          </w:tcPr>
          <w:p>
            <w:pPr>
              <w:jc w:val="left"/>
            </w:pPr>
            <w:r/>
            <w:r>
              <w:rPr>
                <w:rFonts w:ascii="Calibri" w:hAnsi="Calibri"/>
                <w:b w:val="0"/>
                <w:sz w:val="18"/>
              </w:rPr>
              <w:t>Core real-estate recovery layer for downside protection.</w:t>
            </w:r>
          </w:p>
        </w:tc>
      </w:tr>
      <w:tr>
        <w:tc>
          <w:tcPr>
            <w:tcW w:type="dxa" w:w="1417"/>
            <w:vAlign w:val="center"/>
          </w:tcPr>
          <w:p>
            <w:pPr>
              <w:jc w:val="center"/>
            </w:pPr>
            <w:r/>
            <w:r>
              <w:rPr>
                <w:rFonts w:ascii="Arial" w:hAnsi="Arial"/>
                <w:b/>
                <w:sz w:val="18"/>
              </w:rPr>
              <w:t>4</w:t>
            </w:r>
          </w:p>
        </w:tc>
        <w:tc>
          <w:tcPr>
            <w:tcW w:type="dxa" w:w="3402"/>
            <w:vAlign w:val="center"/>
          </w:tcPr>
          <w:p>
            <w:pPr>
              <w:jc w:val="left"/>
            </w:pPr>
            <w:r/>
            <w:r>
              <w:rPr>
                <w:rFonts w:ascii="Calibri" w:hAnsi="Calibri"/>
                <w:b w:val="0"/>
                <w:sz w:val="18"/>
              </w:rPr>
              <w:t>Share pledge / contractual step-in</w:t>
            </w:r>
          </w:p>
        </w:tc>
        <w:tc>
          <w:tcPr>
            <w:tcW w:type="dxa" w:w="4535"/>
            <w:vAlign w:val="center"/>
          </w:tcPr>
          <w:p>
            <w:pPr>
              <w:jc w:val="left"/>
            </w:pPr>
            <w:r/>
            <w:r>
              <w:rPr>
                <w:rFonts w:ascii="Calibri" w:hAnsi="Calibri"/>
                <w:b w:val="0"/>
                <w:sz w:val="18"/>
              </w:rPr>
              <w:t>Business continuity backstop and restructuring leverage.</w:t>
            </w:r>
          </w:p>
        </w:tc>
      </w:tr>
    </w:tbl>
    <w:p/>
    <w:p>
      <w:pPr>
        <w:jc w:val="center"/>
      </w:pPr>
      <w:r>
        <w:rPr>
          <w:rFonts w:ascii="Arial" w:hAnsi="Arial"/>
          <w:b/>
          <w:color w:val="C00000"/>
          <w:sz w:val="20"/>
        </w:rPr>
        <w:t>STATUS: CONDITIONAL // PENDING FINAL INDEPENDENT ASSET VALUATION REPORT</w:t>
      </w:r>
    </w:p>
    <w:p/>
    <w:p>
      <w:pPr>
        <w:jc w:val="both"/>
      </w:pPr>
      <w:r>
        <w:rPr>
          <w:rFonts w:ascii="Calibri" w:hAnsi="Calibri"/>
          <w:b w:val="0"/>
          <w:color w:val="444444"/>
          <w:sz w:val="16"/>
        </w:rPr>
        <w:t>Disclaimer: This memorandum is an internal working summary for credit, legal, and investment committee review. It does not constitute a legal opinion, valuation certificate, or final perfection confirmation.</w:t>
      </w:r>
    </w:p>
    <w:sectPr w:rsidR="00FC693F" w:rsidRPr="0006063C" w:rsidSect="00034616">
      <w:headerReference w:type="default" r:id="rId9"/>
      <w:footerReference w:type="default" r:id="rId10"/>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14"/>
      </w:rPr>
      <w:t>ARS METAL INDUSTRIES // LEGAL &amp; FINANCE-49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val="0"/>
        <w:color w:val="444444"/>
        <w:sz w:val="16"/>
      </w:rPr>
      <w:t>TITAN GRID // COLLATERAL &amp; SECURITY REGISTRY // REF: COL-49 // REV: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