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TITAN GRID – Investment Committee Memorandum</w:t>
      </w:r>
    </w:p>
    <w:p>
      <w:pPr>
        <w:pStyle w:val="Heading1"/>
      </w:pPr>
      <w:r>
        <w:t>Executive Summary</w:t>
      </w:r>
    </w:p>
    <w:p>
      <w:r>
        <w:t>Total CAPEX: €19.92M</w:t>
        <w:br/>
        <w:t>Senior Debt: ~€8.2M</w:t>
        <w:br/>
        <w:t>IRR: ~32%</w:t>
        <w:br/>
        <w:t>Payback: ~4.8 years</w:t>
        <w:br/>
        <w:t>Recommendation: APPROVE</w:t>
      </w:r>
    </w:p>
    <w:p>
      <w:pPr>
        <w:pStyle w:val="Heading1"/>
      </w:pPr>
      <w:r>
        <w:t>Project Overview</w:t>
      </w:r>
    </w:p>
    <w:p>
      <w:r>
        <w:t>Transformer tank manufacturing facility in Montenegro focused on EU near-shoring demand.</w:t>
      </w:r>
    </w:p>
    <w:p>
      <w:pPr>
        <w:pStyle w:val="Heading1"/>
      </w:pPr>
      <w:r>
        <w:t>Financial Highlights</w:t>
      </w:r>
    </w:p>
    <w:p>
      <w:r>
        <w:t>EBITDA margin ~28–30%</w:t>
        <w:br/>
        <w:t>Strong CFADS</w:t>
        <w:br/>
        <w:t>DSCR &gt;1.35x downside</w:t>
      </w:r>
    </w:p>
    <w:p>
      <w:pPr>
        <w:pStyle w:val="Heading1"/>
      </w:pPr>
      <w:r>
        <w:t>Risk &amp; Mitigation</w:t>
      </w:r>
    </w:p>
    <w:p>
      <w:r>
        <w:t>Volume risk mitigated by partner pipeline.</w:t>
        <w:br/>
        <w:t>Price risk mitigated via steel pass-through.</w:t>
      </w:r>
    </w:p>
    <w:p>
      <w:pPr>
        <w:pStyle w:val="Heading1"/>
      </w:pPr>
      <w:r>
        <w:t>Final Recommendation</w:t>
      </w:r>
    </w:p>
    <w:p>
      <w:r>
        <w:t>Approve financing subject to CP satisfaction.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