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ANEKS 1</w:t>
      </w:r>
    </w:p>
    <w:p>
      <w:pPr>
        <w:pStyle w:val="Heading1"/>
        <w:jc w:val="center"/>
      </w:pPr>
      <w:r>
        <w:t>REVIZIJA CAPEX OKVIRA ZA PROJEKAT TITAN 1</w:t>
      </w:r>
    </w:p>
    <w:p>
      <w:r>
        <w:t>Datum: 2026-05-10</w:t>
        <w:br/>
      </w:r>
    </w:p>
    <w:p>
      <w:r>
        <w:t>Ovaj Aneks 1 odnosi se isključivo na projekat TITAN 1.</w:t>
      </w:r>
    </w:p>
    <w:p>
      <w:r>
        <w:t>Nosilac projekta:</w:t>
      </w:r>
    </w:p>
    <w:p>
      <w:r>
        <w:t>Ars Metal Industries D.O.O. Podgorica</w:t>
      </w:r>
    </w:p>
    <w:p>
      <w:r>
        <w:t>Lokacija projekta:</w:t>
      </w:r>
    </w:p>
    <w:p>
      <w:r>
        <w:t>Industrijska zona Tuzi / KAP, Crna Gora</w:t>
      </w:r>
    </w:p>
    <w:p>
      <w:r>
        <w:t>3. AŽURIRANI CAPEX OKVIR</w:t>
      </w:r>
    </w:p>
    <w:p>
      <w:r>
        <w:t>Ažurirani CAPEX okvir za TITAN 1:</w:t>
      </w:r>
    </w:p>
    <w:p>
      <w:r>
        <w:t>18,2 miliona EUR</w:t>
      </w:r>
    </w:p>
    <w:p>
      <w:r>
        <w:t>4. STATUS DOKUMENTA</w:t>
      </w:r>
    </w:p>
    <w:p>
      <w:r>
        <w:t>Ovaj Aneks predstavlja prateće objašnjenje uz postojeću projektnu dokumentaciju i koristi se isključivo za potrebe institucionalne komunikacije i preliminarnog usklađivanja.</w:t>
      </w:r>
    </w:p>
    <w:p>
      <w:r>
        <w:br/>
        <w:t>Sa poštovanjem,</w:t>
      </w:r>
    </w:p>
    <w:p>
      <w:r>
        <w:t>DANIJELA KESKIN</w:t>
      </w:r>
    </w:p>
    <w:p>
      <w:r>
        <w:t>Director</w:t>
      </w:r>
    </w:p>
    <w:p>
      <w:r>
        <w:t>Ars Metal Industries D.O.O. Podgorica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