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6AED" w14:textId="77777777" w:rsidR="00C200CB" w:rsidRDefault="00732089">
      <w:pPr>
        <w:jc w:val="center"/>
      </w:pPr>
      <w:r>
        <w:rPr>
          <w:noProof/>
        </w:rPr>
        <w:drawing>
          <wp:inline distT="0" distB="0" distL="0" distR="0" wp14:anchorId="6C3B3978" wp14:editId="3718AD46">
            <wp:extent cx="32004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s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F48B" w14:textId="77777777" w:rsidR="00C200CB" w:rsidRDefault="00732089">
      <w:pPr>
        <w:jc w:val="center"/>
      </w:pPr>
      <w:r>
        <w:rPr>
          <w:b/>
          <w:sz w:val="36"/>
        </w:rPr>
        <w:t>ARS METAL INDUSTRIES d.o.o.</w:t>
      </w:r>
    </w:p>
    <w:p w14:paraId="1AF1484C" w14:textId="77777777" w:rsidR="00C200CB" w:rsidRDefault="00732089">
      <w:pPr>
        <w:jc w:val="center"/>
      </w:pPr>
      <w:r>
        <w:rPr>
          <w:i/>
          <w:sz w:val="24"/>
        </w:rPr>
        <w:t>Shareholder Structure</w:t>
      </w:r>
    </w:p>
    <w:p w14:paraId="356F503F" w14:textId="77777777" w:rsidR="00C200CB" w:rsidRDefault="00C200CB"/>
    <w:p w14:paraId="0A66430D" w14:textId="77777777" w:rsidR="00C200CB" w:rsidRDefault="00732089">
      <w:pPr>
        <w:pStyle w:val="Heading1"/>
      </w:pPr>
      <w:r>
        <w:t>Ownership Overview</w:t>
      </w:r>
    </w:p>
    <w:p w14:paraId="10270C1D" w14:textId="77777777" w:rsidR="00C200CB" w:rsidRDefault="00732089">
      <w:pPr>
        <w:jc w:val="both"/>
      </w:pPr>
      <w:r>
        <w:t>ARS Metal Industries d.o.o. is incorporated in Montenegro as a limited liability company (d.o.o.). The ownership structure is clearly defined and compliant with Montenegrin corporate law, allowing transparent governance and potential participation of strategic investors.</w:t>
      </w:r>
    </w:p>
    <w:p w14:paraId="45086577" w14:textId="77777777" w:rsidR="00C200CB" w:rsidRDefault="00732089">
      <w:pPr>
        <w:pStyle w:val="Heading1"/>
      </w:pPr>
      <w:r>
        <w:t>Current Shareholder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C200CB" w14:paraId="3841FADB" w14:textId="77777777">
        <w:trPr>
          <w:jc w:val="center"/>
        </w:trPr>
        <w:tc>
          <w:tcPr>
            <w:tcW w:w="2412" w:type="dxa"/>
          </w:tcPr>
          <w:p w14:paraId="6E295128" w14:textId="77777777" w:rsidR="00C200CB" w:rsidRDefault="00732089">
            <w:r>
              <w:t>Shareholder</w:t>
            </w:r>
          </w:p>
        </w:tc>
        <w:tc>
          <w:tcPr>
            <w:tcW w:w="2412" w:type="dxa"/>
          </w:tcPr>
          <w:p w14:paraId="421B5DF2" w14:textId="77777777" w:rsidR="00C200CB" w:rsidRDefault="00732089">
            <w:r>
              <w:t>Ownership</w:t>
            </w:r>
          </w:p>
        </w:tc>
        <w:tc>
          <w:tcPr>
            <w:tcW w:w="2412" w:type="dxa"/>
          </w:tcPr>
          <w:p w14:paraId="2EEFF4D7" w14:textId="77777777" w:rsidR="00C200CB" w:rsidRDefault="00732089">
            <w:r>
              <w:t>Capital Contribution</w:t>
            </w:r>
          </w:p>
        </w:tc>
        <w:tc>
          <w:tcPr>
            <w:tcW w:w="2412" w:type="dxa"/>
          </w:tcPr>
          <w:p w14:paraId="4690B379" w14:textId="77777777" w:rsidR="00C200CB" w:rsidRDefault="00732089">
            <w:r>
              <w:t>Role</w:t>
            </w:r>
          </w:p>
        </w:tc>
      </w:tr>
      <w:tr w:rsidR="00C200CB" w14:paraId="24D6A7C9" w14:textId="77777777">
        <w:trPr>
          <w:jc w:val="center"/>
        </w:trPr>
        <w:tc>
          <w:tcPr>
            <w:tcW w:w="2412" w:type="dxa"/>
          </w:tcPr>
          <w:p w14:paraId="56416B7D" w14:textId="77777777" w:rsidR="00C200CB" w:rsidRDefault="00732089">
            <w:r>
              <w:t>Founder / Majority Owner</w:t>
            </w:r>
          </w:p>
        </w:tc>
        <w:tc>
          <w:tcPr>
            <w:tcW w:w="2412" w:type="dxa"/>
          </w:tcPr>
          <w:p w14:paraId="26C582A3" w14:textId="77777777" w:rsidR="00C200CB" w:rsidRDefault="00732089">
            <w:r>
              <w:t>100%</w:t>
            </w:r>
          </w:p>
        </w:tc>
        <w:tc>
          <w:tcPr>
            <w:tcW w:w="2412" w:type="dxa"/>
          </w:tcPr>
          <w:p w14:paraId="02317418" w14:textId="77777777" w:rsidR="00C200CB" w:rsidRDefault="00732089">
            <w:r>
              <w:t>Founding capital</w:t>
            </w:r>
          </w:p>
        </w:tc>
        <w:tc>
          <w:tcPr>
            <w:tcW w:w="2412" w:type="dxa"/>
          </w:tcPr>
          <w:p w14:paraId="3E3F7E22" w14:textId="77777777" w:rsidR="00C200CB" w:rsidRDefault="00732089">
            <w:r>
              <w:t>Strategic management</w:t>
            </w:r>
          </w:p>
        </w:tc>
      </w:tr>
    </w:tbl>
    <w:p w14:paraId="59EF94CC" w14:textId="77777777" w:rsidR="00C200CB" w:rsidRDefault="00C200CB"/>
    <w:p w14:paraId="572C3A96" w14:textId="77777777" w:rsidR="00C200CB" w:rsidRDefault="00732089">
      <w:pPr>
        <w:pStyle w:val="Heading1"/>
      </w:pPr>
      <w:r>
        <w:t>Capital Structure</w:t>
      </w:r>
    </w:p>
    <w:p w14:paraId="56D07C95" w14:textId="77777777" w:rsidR="00C200CB" w:rsidRDefault="00732089">
      <w:r>
        <w:t>• founding capital</w:t>
      </w:r>
    </w:p>
    <w:p w14:paraId="17485625" w14:textId="77777777" w:rsidR="00C200CB" w:rsidRDefault="00732089">
      <w:r>
        <w:t>• additional shareholder investments</w:t>
      </w:r>
    </w:p>
    <w:p w14:paraId="4D1D8023" w14:textId="77777777" w:rsidR="00C200CB" w:rsidRDefault="00732089">
      <w:r>
        <w:t>• project development investments</w:t>
      </w:r>
    </w:p>
    <w:p w14:paraId="7FC9AF7A" w14:textId="77777777" w:rsidR="00C200CB" w:rsidRDefault="00732089">
      <w:r>
        <w:t>Investments to date include industrial site preparation, infrastructure works and project development activities.</w:t>
      </w:r>
    </w:p>
    <w:p w14:paraId="775DE9AE" w14:textId="77777777" w:rsidR="00C200CB" w:rsidRDefault="00732089">
      <w:pPr>
        <w:pStyle w:val="Heading1"/>
      </w:pPr>
      <w:r>
        <w:t>Future Ownership Structure (Post-Investment Scenario)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200CB" w14:paraId="6E0CDBBA" w14:textId="77777777">
        <w:trPr>
          <w:jc w:val="center"/>
        </w:trPr>
        <w:tc>
          <w:tcPr>
            <w:tcW w:w="3216" w:type="dxa"/>
          </w:tcPr>
          <w:p w14:paraId="68DABCE8" w14:textId="77777777" w:rsidR="00C200CB" w:rsidRDefault="00732089">
            <w:r>
              <w:t>Shareholder</w:t>
            </w:r>
          </w:p>
        </w:tc>
        <w:tc>
          <w:tcPr>
            <w:tcW w:w="3216" w:type="dxa"/>
          </w:tcPr>
          <w:p w14:paraId="2A8E047F" w14:textId="77777777" w:rsidR="00C200CB" w:rsidRDefault="00732089">
            <w:r>
              <w:t>Ownership</w:t>
            </w:r>
          </w:p>
        </w:tc>
        <w:tc>
          <w:tcPr>
            <w:tcW w:w="3216" w:type="dxa"/>
          </w:tcPr>
          <w:p w14:paraId="254F4B6A" w14:textId="77777777" w:rsidR="00C200CB" w:rsidRDefault="00732089">
            <w:r>
              <w:t>Role</w:t>
            </w:r>
          </w:p>
        </w:tc>
      </w:tr>
      <w:tr w:rsidR="00C200CB" w14:paraId="348E2B83" w14:textId="77777777">
        <w:trPr>
          <w:jc w:val="center"/>
        </w:trPr>
        <w:tc>
          <w:tcPr>
            <w:tcW w:w="3216" w:type="dxa"/>
          </w:tcPr>
          <w:p w14:paraId="7E564D93" w14:textId="77777777" w:rsidR="00C200CB" w:rsidRDefault="00732089">
            <w:r>
              <w:t>Founder</w:t>
            </w:r>
          </w:p>
        </w:tc>
        <w:tc>
          <w:tcPr>
            <w:tcW w:w="3216" w:type="dxa"/>
          </w:tcPr>
          <w:p w14:paraId="4FEB0CE4" w14:textId="77777777" w:rsidR="00C200CB" w:rsidRDefault="00732089">
            <w:r>
              <w:t>60–70%</w:t>
            </w:r>
          </w:p>
        </w:tc>
        <w:tc>
          <w:tcPr>
            <w:tcW w:w="3216" w:type="dxa"/>
          </w:tcPr>
          <w:p w14:paraId="075A76DA" w14:textId="77777777" w:rsidR="00C200CB" w:rsidRDefault="00732089">
            <w:r>
              <w:t>Strategic leadership</w:t>
            </w:r>
          </w:p>
        </w:tc>
      </w:tr>
      <w:tr w:rsidR="00C200CB" w14:paraId="607C639E" w14:textId="77777777">
        <w:trPr>
          <w:jc w:val="center"/>
        </w:trPr>
        <w:tc>
          <w:tcPr>
            <w:tcW w:w="3216" w:type="dxa"/>
          </w:tcPr>
          <w:p w14:paraId="4D2821C5" w14:textId="77777777" w:rsidR="00C200CB" w:rsidRDefault="00732089">
            <w:r>
              <w:lastRenderedPageBreak/>
              <w:t>Strategic Investor</w:t>
            </w:r>
          </w:p>
        </w:tc>
        <w:tc>
          <w:tcPr>
            <w:tcW w:w="3216" w:type="dxa"/>
          </w:tcPr>
          <w:p w14:paraId="17A472F6" w14:textId="77777777" w:rsidR="00C200CB" w:rsidRDefault="00732089">
            <w:r>
              <w:t>20–30%</w:t>
            </w:r>
          </w:p>
        </w:tc>
        <w:tc>
          <w:tcPr>
            <w:tcW w:w="3216" w:type="dxa"/>
          </w:tcPr>
          <w:p w14:paraId="1ADB0C87" w14:textId="77777777" w:rsidR="00C200CB" w:rsidRDefault="00732089">
            <w:r>
              <w:t>Capital and industrial partnership</w:t>
            </w:r>
          </w:p>
        </w:tc>
      </w:tr>
      <w:tr w:rsidR="00C200CB" w14:paraId="1F627CE5" w14:textId="77777777">
        <w:trPr>
          <w:jc w:val="center"/>
        </w:trPr>
        <w:tc>
          <w:tcPr>
            <w:tcW w:w="3216" w:type="dxa"/>
          </w:tcPr>
          <w:p w14:paraId="1F0696AB" w14:textId="77777777" w:rsidR="00C200CB" w:rsidRDefault="00732089">
            <w:r>
              <w:t>Employee Share Option Pool</w:t>
            </w:r>
          </w:p>
        </w:tc>
        <w:tc>
          <w:tcPr>
            <w:tcW w:w="3216" w:type="dxa"/>
          </w:tcPr>
          <w:p w14:paraId="5ACED1AC" w14:textId="77777777" w:rsidR="00C200CB" w:rsidRDefault="00732089">
            <w:r>
              <w:t>5–10%</w:t>
            </w:r>
          </w:p>
        </w:tc>
        <w:tc>
          <w:tcPr>
            <w:tcW w:w="3216" w:type="dxa"/>
          </w:tcPr>
          <w:p w14:paraId="4B4E8C20" w14:textId="77777777" w:rsidR="00C200CB" w:rsidRDefault="00732089">
            <w:r>
              <w:t>Management incentive</w:t>
            </w:r>
          </w:p>
        </w:tc>
      </w:tr>
    </w:tbl>
    <w:p w14:paraId="205E2BCB" w14:textId="77777777" w:rsidR="00C200CB" w:rsidRDefault="00C200CB"/>
    <w:p w14:paraId="57C2D2FA" w14:textId="77777777" w:rsidR="00C200CB" w:rsidRDefault="00732089">
      <w:pPr>
        <w:pStyle w:val="Heading1"/>
      </w:pPr>
      <w:r>
        <w:t>Governance Principles</w:t>
      </w:r>
    </w:p>
    <w:p w14:paraId="68249E8E" w14:textId="77777777" w:rsidR="00C200CB" w:rsidRDefault="00732089">
      <w:r>
        <w:t>Ownership Transparency – All shareholders and capital shares are clearly defined.</w:t>
      </w:r>
    </w:p>
    <w:p w14:paraId="5FE39057" w14:textId="77777777" w:rsidR="00C200CB" w:rsidRDefault="00732089">
      <w:r>
        <w:t>Responsible Capital Allocation – Capital is used exclusively for industrial development.</w:t>
      </w:r>
    </w:p>
    <w:p w14:paraId="382542E1" w14:textId="77777777" w:rsidR="00C200CB" w:rsidRDefault="00732089">
      <w:r>
        <w:t>Strategic Partnership Readiness – The company remains open to strategic investors.</w:t>
      </w:r>
    </w:p>
    <w:p w14:paraId="08839373" w14:textId="77777777" w:rsidR="00C200CB" w:rsidRDefault="00732089">
      <w:pPr>
        <w:pStyle w:val="Heading1"/>
      </w:pPr>
      <w:r>
        <w:t>Investor Transparency</w:t>
      </w:r>
    </w:p>
    <w:p w14:paraId="3ABC50DC" w14:textId="77777777" w:rsidR="00C200CB" w:rsidRDefault="00732089">
      <w:r>
        <w:t>The company can provide full documentation confirming ownership structure:</w:t>
      </w:r>
    </w:p>
    <w:p w14:paraId="6576D698" w14:textId="77777777" w:rsidR="00C200CB" w:rsidRDefault="00732089">
      <w:r>
        <w:t>• Articles of Incorporation</w:t>
      </w:r>
    </w:p>
    <w:p w14:paraId="1B137AC9" w14:textId="77777777" w:rsidR="00C200CB" w:rsidRDefault="00732089">
      <w:r>
        <w:t>• Registration in the Central Registry of Business Entities</w:t>
      </w:r>
    </w:p>
    <w:p w14:paraId="555A2445" w14:textId="77777777" w:rsidR="00C200CB" w:rsidRDefault="00732089">
      <w:r>
        <w:t>• Capital structure documentation</w:t>
      </w:r>
    </w:p>
    <w:p w14:paraId="7E2E4E31" w14:textId="77777777" w:rsidR="00C200CB" w:rsidRDefault="00732089">
      <w:pPr>
        <w:pStyle w:val="Heading1"/>
      </w:pPr>
      <w:r>
        <w:t>Strategic Implication</w:t>
      </w:r>
    </w:p>
    <w:p w14:paraId="517AB9EA" w14:textId="77777777" w:rsidR="00C200CB" w:rsidRDefault="00732089">
      <w:r>
        <w:t>A transparent ownership structure enables efficient decision-making, improved access to financing and increased investor confidence.</w:t>
      </w:r>
    </w:p>
    <w:sectPr w:rsidR="00C200CB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2ECC" w14:textId="77777777" w:rsidR="00732089" w:rsidRDefault="00732089">
      <w:pPr>
        <w:spacing w:after="0" w:line="240" w:lineRule="auto"/>
      </w:pPr>
      <w:r>
        <w:separator/>
      </w:r>
    </w:p>
  </w:endnote>
  <w:endnote w:type="continuationSeparator" w:id="0">
    <w:p w14:paraId="223CBB98" w14:textId="77777777" w:rsidR="00732089" w:rsidRDefault="00732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DB5F" w14:textId="77777777" w:rsidR="00C200CB" w:rsidRDefault="00732089">
    <w:pPr>
      <w:pStyle w:val="Footer"/>
      <w:jc w:val="center"/>
    </w:pPr>
    <w:r>
      <w:t>ARS Metal Industries d.o.o. | Tuzi, Montenegro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882E" w14:textId="77777777" w:rsidR="00732089" w:rsidRDefault="00732089">
      <w:pPr>
        <w:spacing w:after="0" w:line="240" w:lineRule="auto"/>
      </w:pPr>
      <w:r>
        <w:separator/>
      </w:r>
    </w:p>
  </w:footnote>
  <w:footnote w:type="continuationSeparator" w:id="0">
    <w:p w14:paraId="72972EF9" w14:textId="77777777" w:rsidR="00732089" w:rsidRDefault="00732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10262">
    <w:abstractNumId w:val="8"/>
  </w:num>
  <w:num w:numId="2" w16cid:durableId="180046211">
    <w:abstractNumId w:val="6"/>
  </w:num>
  <w:num w:numId="3" w16cid:durableId="117144212">
    <w:abstractNumId w:val="5"/>
  </w:num>
  <w:num w:numId="4" w16cid:durableId="762150249">
    <w:abstractNumId w:val="4"/>
  </w:num>
  <w:num w:numId="5" w16cid:durableId="1339385174">
    <w:abstractNumId w:val="7"/>
  </w:num>
  <w:num w:numId="6" w16cid:durableId="1865055375">
    <w:abstractNumId w:val="3"/>
  </w:num>
  <w:num w:numId="7" w16cid:durableId="1714772219">
    <w:abstractNumId w:val="2"/>
  </w:num>
  <w:num w:numId="8" w16cid:durableId="1701584839">
    <w:abstractNumId w:val="1"/>
  </w:num>
  <w:num w:numId="9" w16cid:durableId="134709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0C"/>
    <w:rsid w:val="0015074B"/>
    <w:rsid w:val="0029639D"/>
    <w:rsid w:val="00326F90"/>
    <w:rsid w:val="00732089"/>
    <w:rsid w:val="00AA1D8D"/>
    <w:rsid w:val="00B47730"/>
    <w:rsid w:val="00C200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9848E2"/>
  <w14:defaultImageDpi w14:val="300"/>
  <w15:docId w15:val="{EC30D0E3-3455-6D4F-AC29-8971562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Danijela Đurović</cp:lastModifiedBy>
  <cp:revision>2</cp:revision>
  <dcterms:created xsi:type="dcterms:W3CDTF">2026-05-05T02:04:00Z</dcterms:created>
  <dcterms:modified xsi:type="dcterms:W3CDTF">2026-05-05T02:04:00Z</dcterms:modified>
  <cp:category/>
</cp:coreProperties>
</file>