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100-Step Master Plan: Industrial Influence &amp; Leadership Strategy</w:t>
      </w:r>
    </w:p>
    <w:p>
      <w:r>
        <w:br/>
        <w:t xml:space="preserve">This full-scale 100-step master plan is designed for Danijela Đurović Keskin to position herself as the leading industrial </w:t>
        <w:br/>
        <w:t xml:space="preserve">voice and policy influencer in Montenegro over a 6-month period. The plan merges communication strategy, </w:t>
        <w:br/>
        <w:t xml:space="preserve">government relations, public diplomacy, media management, and industrial development into a single unified roadmap. </w:t>
        <w:br/>
        <w:t>Each step includes short analysis and practical tips to ensure measurable progress.</w:t>
        <w:br/>
      </w:r>
    </w:p>
    <w:p>
      <w:pPr>
        <w:pStyle w:val="Heading2"/>
      </w:pPr>
      <w:r>
        <w:t>Phase 1 – FOUNDATION (Days 1–15)</w:t>
      </w:r>
    </w:p>
    <w:p>
      <w:pPr>
        <w:pStyle w:val="ListNumber"/>
      </w:pPr>
      <w:r>
        <w:t>Step 1.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2.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3.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4.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5.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6.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7.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8.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9.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10.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11.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12.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13.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14.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15.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16.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17.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18.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19.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ListNumber"/>
      </w:pPr>
      <w:r>
        <w:t>Step 20.</w:t>
      </w:r>
    </w:p>
    <w:p>
      <w:r>
        <w:t>Analysis: Establishing your identity early ensures every later message carries consistency. In the first 15 days, focus on quality content, clear values, and visible discipline.</w:t>
      </w:r>
    </w:p>
    <w:p>
      <w:r>
        <w:t>Tip: Focus on clarity and credibility. Define your tone, visual identity, and authority base.</w:t>
        <w:br/>
      </w:r>
    </w:p>
    <w:p>
      <w:pPr>
        <w:pStyle w:val="Heading2"/>
      </w:pPr>
      <w:r>
        <w:t>Phase 2 – VISIBILITY (Days 16–45)</w:t>
      </w:r>
    </w:p>
    <w:p>
      <w:pPr>
        <w:pStyle w:val="ListNumber"/>
      </w:pPr>
      <w:r>
        <w:t>Step 21.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22.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23.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24.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25.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26.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27.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28.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29.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30.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31.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32.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33.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34.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35.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36.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37.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38.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39.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ListNumber"/>
      </w:pPr>
      <w:r>
        <w:t>Step 40.</w:t>
      </w:r>
    </w:p>
    <w:p>
      <w:r>
        <w:t>Analysis: Visibility works through repetition. LinkedIn rewards steady, authentic voices—your posts should form a recognizable series.</w:t>
      </w:r>
    </w:p>
    <w:p>
      <w:r>
        <w:t>Tip: Build rhythm. Post consistently and engage directly with thought leaders.</w:t>
        <w:br/>
      </w:r>
    </w:p>
    <w:p>
      <w:pPr>
        <w:pStyle w:val="Heading2"/>
      </w:pPr>
      <w:r>
        <w:t>Phase 3 – NETWORK BUILDING (Days 46–75)</w:t>
      </w:r>
    </w:p>
    <w:p>
      <w:pPr>
        <w:pStyle w:val="ListNumber"/>
      </w:pPr>
      <w:r>
        <w:t>Step 41.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42.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43.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44.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45.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46.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47.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48.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49.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50.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51.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52.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53.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54.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55.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56.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57.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58.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59.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ListNumber"/>
      </w:pPr>
      <w:r>
        <w:t>Step 60.</w:t>
      </w:r>
    </w:p>
    <w:p>
      <w:r>
        <w:t>Analysis: At this stage, communication turns into negotiation. Every meeting must have purpose—knowledge, ally, or access.</w:t>
      </w:r>
    </w:p>
    <w:p>
      <w:r>
        <w:t>Tip: Convert visibility into relationships. Meet decision-makers weekly.</w:t>
        <w:br/>
      </w:r>
    </w:p>
    <w:p>
      <w:pPr>
        <w:pStyle w:val="Heading2"/>
      </w:pPr>
      <w:r>
        <w:t>Phase 4 – STRATEGIC INFLUENCE (Days 76–105)</w:t>
      </w:r>
    </w:p>
    <w:p>
      <w:pPr>
        <w:pStyle w:val="ListNumber"/>
      </w:pPr>
      <w:r>
        <w:t>Step 61.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62.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63.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64.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65.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66.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67.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68.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69.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70.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71.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72.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73.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74.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75.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76.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77.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78.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79.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ListNumber"/>
      </w:pPr>
      <w:r>
        <w:t>Step 80.</w:t>
      </w:r>
    </w:p>
    <w:p>
      <w:r>
        <w:t>Analysis: By now you have recognition. Use it to publish data-backed suggestions, appear in media, and host private roundtables.</w:t>
      </w:r>
    </w:p>
    <w:p>
      <w:r>
        <w:t>Tip: Influence the agenda. Use your credibility to shape reform conversation.</w:t>
        <w:br/>
      </w:r>
    </w:p>
    <w:p>
      <w:pPr>
        <w:pStyle w:val="Heading2"/>
      </w:pPr>
      <w:r>
        <w:t>Phase 5 – CONSOLIDATION &amp; EXPANSION (Days 106–180)</w:t>
      </w:r>
    </w:p>
    <w:p>
      <w:pPr>
        <w:pStyle w:val="ListNumber"/>
      </w:pPr>
      <w:r>
        <w:t>Step 81.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82.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83.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84.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85.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86.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87.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88.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89.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90.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91.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92.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93.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94.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95.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96.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97.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98.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99.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p>
      <w:pPr>
        <w:pStyle w:val="ListNumber"/>
      </w:pPr>
      <w:r>
        <w:t>Step 100.</w:t>
      </w:r>
    </w:p>
    <w:p>
      <w:r>
        <w:t>Analysis: Your mission moves from visibility to legacy. Form councils, training programs, and cross-border partnerships.</w:t>
      </w:r>
    </w:p>
    <w:p>
      <w:r>
        <w:t>Tip: Stabilize and expand. Build formal structures for long-term influence.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