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46"/>
          <w:szCs w:val="46"/>
        </w:rPr>
        <w:t xml:space="preserve">GUÍA DE EJECUCIÓN</w:t>
      </w:r>
    </w:p>
    <w:p>
      <w:pPr>
        <w:spacing w:after="80"/>
        <w:jc w:val="center"/>
      </w:pPr>
      <w:r>
        <w:rPr>
          <w:rFonts w:ascii="Arial" w:cs="Arial" w:eastAsia="Arial" w:hAnsi="Arial"/>
          <w:b/>
          <w:bCs/>
          <w:color w:val="0f6e56"/>
          <w:sz w:val="38"/>
          <w:szCs w:val="38"/>
        </w:rPr>
        <w:t xml:space="preserve">Flowmind School ERP</w:t>
      </w:r>
    </w:p>
    <w:p>
      <w:pPr>
        <w:spacing w:after="120"/>
        <w:jc w:val="center"/>
      </w:pPr>
      <w:r>
        <w:rPr>
          <w:rFonts w:ascii="Arial" w:cs="Arial" w:eastAsia="Arial" w:hAnsi="Arial"/>
          <w:color w:val="5f5e5a"/>
          <w:sz w:val="24"/>
          <w:szCs w:val="24"/>
        </w:rPr>
        <w:t xml:space="preserve">Estrategia de agentes, fuentes de datos y flujos de alimentación</w:t>
      </w:r>
    </w:p>
    <w:p>
      <w:pPr>
        <w:spacing w:after="400"/>
        <w:jc w:val="center"/>
      </w:pPr>
      <w:r>
        <w:rPr>
          <w:rFonts w:ascii="Arial" w:cs="Arial" w:eastAsia="Arial" w:hAnsi="Arial"/>
          <w:color w:val="5f5e5a"/>
          <w:sz w:val="22"/>
          <w:szCs w:val="22"/>
        </w:rPr>
        <w:t xml:space="preserve">Complemento del Documento Maestro Unificado v3.0</w:t>
      </w:r>
    </w:p>
    <w:p>
      <w:pPr>
        <w:pBdr>
          <w:top w:val="single" w:color="0f6e56" w:sz="6" w:space="8"/>
        </w:pBdr>
        <w:spacing w:after="80" w:before="200"/>
        <w:jc w:val="center"/>
      </w:pPr>
      <w:r>
        <w:rPr>
          <w:rFonts w:ascii="Arial" w:cs="Arial" w:eastAsia="Arial" w:hAnsi="Arial"/>
          <w:color w:val="5f5e5a"/>
          <w:sz w:val="22"/>
          <w:szCs w:val="22"/>
        </w:rPr>
        <w:t xml:space="preserve">Versión 1.0 — Abril 2026</w:t>
      </w:r>
    </w:p>
    <w:p>
      <w:r>
        <w:br w:type="page"/>
      </w:r>
    </w:p>
    <w:p>
      <w:pPr>
        <w:pStyle w:val="Heading1"/>
      </w:pPr>
      <w:r>
        <w:t xml:space="preserve">Tabla de contenidos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PARTE A — Estrategia de múltiples agentes</w:t>
      </w:r>
    </w:p>
    <w:p>
      <w:pPr>
        <w:spacing w:after="60"/>
      </w:pPr>
    </w:p>
    <w:p>
      <w:pPr>
        <w:pStyle w:val="Heading2"/>
      </w:pPr>
      <w:r>
        <w:t xml:space="preserve">1. Por qué múltiples sesiones y no una sola</w:t>
      </w:r>
    </w:p>
    <w:p>
      <w:pPr>
        <w:spacing w:after="100"/>
      </w:pPr>
      <w:r>
        <w:t xml:space="preserve">Claude Code tiene un límite de contexto. Un proyecto de 25+ módulos, 30+ tablas, 40+ endpoints y 17 eventos NO cabe completo en una sola sesión. Si intentas hacer todo en una conversación:</w:t>
      </w:r>
    </w:p>
    <w:p>
      <w:pPr>
        <w:pStyle w:val="ListParagraph"/>
        <w:numPr>
          <w:ilvl w:val="0"/>
          <w:numId w:val="2"/>
        </w:numPr>
        <w:spacing w:after="50"/>
      </w:pPr>
      <w:r>
        <w:rPr>
          <w:sz w:val="21"/>
          <w:szCs w:val="21"/>
        </w:rPr>
        <w:t xml:space="preserve">Al llegar al módulo 5, el agente ya “olvidó” cómo construyó el módulo 1</w:t>
      </w:r>
    </w:p>
    <w:p>
      <w:pPr>
        <w:pStyle w:val="ListParagraph"/>
        <w:numPr>
          <w:ilvl w:val="0"/>
          <w:numId w:val="2"/>
        </w:numPr>
        <w:spacing w:after="50"/>
      </w:pPr>
      <w:r>
        <w:rPr>
          <w:sz w:val="21"/>
          <w:szCs w:val="21"/>
        </w:rPr>
        <w:t xml:space="preserve">Empieza a inventar patrones distintos a los que usó antes</w:t>
      </w:r>
    </w:p>
    <w:p>
      <w:pPr>
        <w:pStyle w:val="ListParagraph"/>
        <w:numPr>
          <w:ilvl w:val="0"/>
          <w:numId w:val="2"/>
        </w:numPr>
        <w:spacing w:after="50"/>
      </w:pPr>
      <w:r>
        <w:rPr>
          <w:sz w:val="21"/>
          <w:szCs w:val="21"/>
        </w:rPr>
        <w:t xml:space="preserve">Las validaciones se vuelven inconsistentes entre módulos</w:t>
      </w:r>
    </w:p>
    <w:p>
      <w:pPr>
        <w:pStyle w:val="ListParagraph"/>
        <w:numPr>
          <w:ilvl w:val="0"/>
          <w:numId w:val="2"/>
        </w:numPr>
        <w:spacing w:after="50"/>
      </w:pPr>
      <w:r>
        <w:rPr>
          <w:sz w:val="21"/>
          <w:szCs w:val="21"/>
        </w:rPr>
        <w:t xml:space="preserve">Los eventos dejan de seguir la estructura estándar</w:t>
      </w:r>
    </w:p>
    <w:p>
      <w:pPr>
        <w:spacing w:after="60"/>
      </w:pPr>
    </w:p>
    <w:p>
      <w:pPr>
        <w:spacing w:after="100"/>
      </w:pPr>
      <w:r>
        <w:t xml:space="preserve">La solución es: MUCHAS sesiones cortas y enfocadas, cada una con el documento maestro como contexto constante.</w:t>
      </w:r>
    </w:p>
    <w:p>
      <w:pPr>
        <w:spacing w:after="60"/>
      </w:pPr>
    </w:p>
    <w:p>
      <w:pPr>
        <w:pStyle w:val="Heading2"/>
      </w:pPr>
      <w:r>
        <w:t xml:space="preserve">2. Arquitectura de sesiones recomendada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000"/>
        <w:gridCol w:w="2200"/>
        <w:gridCol w:w="1360"/>
      </w:tblGrid>
      <w:tr>
        <w:tc>
          <w:tcPr>
            <w:tcW w:type="dxa" w:w="1000"/>
            <w:tcBorders>
              <w:top w:val="single" w:color="cccccc" w:sz="1"/>
              <w:left w:val="single" w:color="cccccc" w:sz="1"/>
              <w:bottom w:val="single" w:color="cccccc" w:sz="1"/>
              <w:right w:val="single" w:color="cccccc" w:sz="1"/>
            </w:tcBorders>
            <w:shd w:fill="0f6e56" w:val="clear"/>
            <w:tcMar>
              <w:top w:type="dxa" w:w="55"/>
              <w:left w:type="dxa" w:w="90"/>
              <w:bottom w:type="dxa" w:w="55"/>
              <w:right w:type="dxa" w:w="90"/>
            </w:tcMar>
          </w:tcPr>
          <w:p>
            <w:r>
              <w:rPr>
                <w:rFonts w:ascii="Arial" w:cs="Arial" w:eastAsia="Arial" w:hAnsi="Arial"/>
                <w:b/>
                <w:bCs/>
                <w:color w:val="ffffff"/>
                <w:sz w:val="19"/>
                <w:szCs w:val="19"/>
              </w:rPr>
              <w:t xml:space="preserve">Sesión</w:t>
            </w:r>
          </w:p>
        </w:tc>
        <w:tc>
          <w:tcPr>
            <w:tcW w:type="dxa" w:w="2800"/>
            <w:tcBorders>
              <w:top w:val="single" w:color="cccccc" w:sz="1"/>
              <w:left w:val="single" w:color="cccccc" w:sz="1"/>
              <w:bottom w:val="single" w:color="cccccc" w:sz="1"/>
              <w:right w:val="single" w:color="cccccc" w:sz="1"/>
            </w:tcBorders>
            <w:shd w:fill="0f6e56" w:val="clear"/>
            <w:tcMar>
              <w:top w:type="dxa" w:w="55"/>
              <w:left w:type="dxa" w:w="90"/>
              <w:bottom w:type="dxa" w:w="55"/>
              <w:right w:type="dxa" w:w="90"/>
            </w:tcMar>
          </w:tcPr>
          <w:p>
            <w:r>
              <w:rPr>
                <w:rFonts w:ascii="Arial" w:cs="Arial" w:eastAsia="Arial" w:hAnsi="Arial"/>
                <w:b/>
                <w:bCs/>
                <w:color w:val="ffffff"/>
                <w:sz w:val="19"/>
                <w:szCs w:val="19"/>
              </w:rPr>
              <w:t xml:space="preserve">Qué se construye</w:t>
            </w:r>
          </w:p>
        </w:tc>
        <w:tc>
          <w:tcPr>
            <w:tcW w:type="dxa" w:w="2000"/>
            <w:tcBorders>
              <w:top w:val="single" w:color="cccccc" w:sz="1"/>
              <w:left w:val="single" w:color="cccccc" w:sz="1"/>
              <w:bottom w:val="single" w:color="cccccc" w:sz="1"/>
              <w:right w:val="single" w:color="cccccc" w:sz="1"/>
            </w:tcBorders>
            <w:shd w:fill="0f6e56" w:val="clear"/>
            <w:tcMar>
              <w:top w:type="dxa" w:w="55"/>
              <w:left w:type="dxa" w:w="90"/>
              <w:bottom w:type="dxa" w:w="55"/>
              <w:right w:type="dxa" w:w="90"/>
            </w:tcMar>
          </w:tcPr>
          <w:p>
            <w:r>
              <w:rPr>
                <w:rFonts w:ascii="Arial" w:cs="Arial" w:eastAsia="Arial" w:hAnsi="Arial"/>
                <w:b/>
                <w:bCs/>
                <w:color w:val="ffffff"/>
                <w:sz w:val="19"/>
                <w:szCs w:val="19"/>
              </w:rPr>
              <w:t xml:space="preserve">Input que recibe</w:t>
            </w:r>
          </w:p>
        </w:tc>
        <w:tc>
          <w:tcPr>
            <w:tcW w:type="dxa" w:w="2200"/>
            <w:tcBorders>
              <w:top w:val="single" w:color="cccccc" w:sz="1"/>
              <w:left w:val="single" w:color="cccccc" w:sz="1"/>
              <w:bottom w:val="single" w:color="cccccc" w:sz="1"/>
              <w:right w:val="single" w:color="cccccc" w:sz="1"/>
            </w:tcBorders>
            <w:shd w:fill="0f6e56" w:val="clear"/>
            <w:tcMar>
              <w:top w:type="dxa" w:w="55"/>
              <w:left w:type="dxa" w:w="90"/>
              <w:bottom w:type="dxa" w:w="55"/>
              <w:right w:type="dxa" w:w="90"/>
            </w:tcMar>
          </w:tcPr>
          <w:p>
            <w:r>
              <w:rPr>
                <w:rFonts w:ascii="Arial" w:cs="Arial" w:eastAsia="Arial" w:hAnsi="Arial"/>
                <w:b/>
                <w:bCs/>
                <w:color w:val="ffffff"/>
                <w:sz w:val="19"/>
                <w:szCs w:val="19"/>
              </w:rPr>
              <w:t xml:space="preserve">Output esperado</w:t>
            </w:r>
          </w:p>
        </w:tc>
        <w:tc>
          <w:tcPr>
            <w:tcW w:type="dxa" w:w="1360"/>
            <w:tcBorders>
              <w:top w:val="single" w:color="cccccc" w:sz="1"/>
              <w:left w:val="single" w:color="cccccc" w:sz="1"/>
              <w:bottom w:val="single" w:color="cccccc" w:sz="1"/>
              <w:right w:val="single" w:color="cccccc" w:sz="1"/>
            </w:tcBorders>
            <w:shd w:fill="0f6e56" w:val="clear"/>
            <w:tcMar>
              <w:top w:type="dxa" w:w="55"/>
              <w:left w:type="dxa" w:w="90"/>
              <w:bottom w:type="dxa" w:w="55"/>
              <w:right w:type="dxa" w:w="90"/>
            </w:tcMar>
          </w:tcPr>
          <w:p>
            <w:r>
              <w:rPr>
                <w:rFonts w:ascii="Arial" w:cs="Arial" w:eastAsia="Arial" w:hAnsi="Arial"/>
                <w:b/>
                <w:bCs/>
                <w:color w:val="ffffff"/>
                <w:sz w:val="19"/>
                <w:szCs w:val="19"/>
              </w:rPr>
              <w:t xml:space="preserve">Duración est.</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S0</w:t>
            </w:r>
          </w:p>
        </w:tc>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Infraestructura base</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Doc Maestro v3</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Monorepo funcionando, BD migrada, auth operativo, seed cargado</w:t>
            </w:r>
          </w:p>
        </w:tc>
        <w:tc>
          <w:tcPr>
            <w:tcW w:type="dxa" w:w="1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1-2 horas</w:t>
            </w:r>
          </w:p>
        </w:tc>
      </w:tr>
      <w:tr>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S1a</w:t>
            </w:r>
          </w:p>
        </w:tc>
        <w:tc>
          <w:tcPr>
            <w:tcW w:type="dxa" w:w="2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Módulo Sistema + Alumnos</w:t>
            </w:r>
          </w:p>
        </w:tc>
        <w:tc>
          <w:tcPr>
            <w:tcW w:type="dxa" w:w="2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Doc Maestro + código de S0</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CRUD cursos, asignaturas, salas. CRUD alumnos, apoderados. Evento ALUMNO_MATRICULADO</w:t>
            </w:r>
          </w:p>
        </w:tc>
        <w:tc>
          <w:tcPr>
            <w:tcW w:type="dxa" w:w="13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1-2 horas</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S1b</w:t>
            </w:r>
          </w:p>
        </w:tc>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Módulo Asistencia + Atrasos</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Doc Maestro + código de S0-S1a</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Registro asistencia, dashboard, eventos. Registro atrasos</w:t>
            </w:r>
          </w:p>
        </w:tc>
        <w:tc>
          <w:tcPr>
            <w:tcW w:type="dxa" w:w="1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1 hora</w:t>
            </w:r>
          </w:p>
        </w:tc>
      </w:tr>
      <w:tr>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S1c</w:t>
            </w:r>
          </w:p>
        </w:tc>
        <w:tc>
          <w:tcPr>
            <w:tcW w:type="dxa" w:w="2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Módulo Calificaciones</w:t>
            </w:r>
          </w:p>
        </w:tc>
        <w:tc>
          <w:tcPr>
            <w:tcW w:type="dxa" w:w="2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Doc Maestro + código de S0-S1b</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Ingreso notas, promedios, dashboard, evento NOTA_INGRESADA</w:t>
            </w:r>
          </w:p>
        </w:tc>
        <w:tc>
          <w:tcPr>
            <w:tcW w:type="dxa" w:w="13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1 hora</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S1d</w:t>
            </w:r>
          </w:p>
        </w:tc>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Módulo Convivencia + Leccionario</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Doc Maestro + código previo</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Anotaciones, protocolos. Leccionario con firma digital</w:t>
            </w:r>
          </w:p>
        </w:tc>
        <w:tc>
          <w:tcPr>
            <w:tcW w:type="dxa" w:w="1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1 hora</w:t>
            </w:r>
          </w:p>
        </w:tc>
      </w:tr>
      <w:tr>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S2a</w:t>
            </w:r>
          </w:p>
        </w:tc>
        <w:tc>
          <w:tcPr>
            <w:tcW w:type="dxa" w:w="2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Finanzas: Fondos + Movimientos + EER</w:t>
            </w:r>
          </w:p>
        </w:tc>
        <w:tc>
          <w:tcPr>
            <w:tcW w:type="dxa" w:w="2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Doc Maestro + código previo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Estado de Resultados mensualizado funcionando</w:t>
            </w:r>
          </w:p>
        </w:tc>
        <w:tc>
          <w:tcPr>
            <w:tcW w:type="dxa" w:w="13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1-2 horas</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S2b</w:t>
            </w:r>
          </w:p>
        </w:tc>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Finanzas: Presupuesto + Conciliación + Rendición</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Doc Maestro + código previo</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Presupuesto vs ejecutado, importación cartola, rendición por fondo</w:t>
            </w:r>
          </w:p>
        </w:tc>
        <w:tc>
          <w:tcPr>
            <w:tcW w:type="dxa" w:w="1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1-2 horas</w:t>
            </w:r>
          </w:p>
        </w:tc>
      </w:tr>
      <w:tr>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S2c</w:t>
            </w:r>
          </w:p>
        </w:tc>
        <w:tc>
          <w:tcPr>
            <w:tcW w:type="dxa" w:w="2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Finanzas: Pagos + Proveedores</w:t>
            </w:r>
          </w:p>
        </w:tc>
        <w:tc>
          <w:tcPr>
            <w:tcW w:type="dxa" w:w="2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Doc Maestro + código previo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Cobro aranceles, evento PAGO_REGISTRADO, CRUD proveedores</w:t>
            </w:r>
          </w:p>
        </w:tc>
        <w:tc>
          <w:tcPr>
            <w:tcW w:type="dxa" w:w="13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1 hora</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S3</w:t>
            </w:r>
          </w:p>
        </w:tc>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RRHH completo</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Doc Maestro + código previo</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Fichas, reloj, contratos, liquidaciones, Previred, LRE</w:t>
            </w:r>
          </w:p>
        </w:tc>
        <w:tc>
          <w:tcPr>
            <w:tcW w:type="dxa" w:w="1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2 horas</w:t>
            </w:r>
          </w:p>
        </w:tc>
      </w:tr>
      <w:tr>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S4a</w:t>
            </w:r>
          </w:p>
        </w:tc>
        <w:tc>
          <w:tcPr>
            <w:tcW w:type="dxa" w:w="2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Dashboard + Calendario + PME</w:t>
            </w:r>
          </w:p>
        </w:tc>
        <w:tc>
          <w:tcPr>
            <w:tcW w:type="dxa" w:w="2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Doc Maestro + código previo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Dashboard “Ahora mismo” con KPIs reales, calendario, PME</w:t>
            </w:r>
          </w:p>
        </w:tc>
        <w:tc>
          <w:tcPr>
            <w:tcW w:type="dxa" w:w="13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1-2 horas</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S4b</w:t>
            </w:r>
          </w:p>
        </w:tc>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Inventario + Cumplimiento</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Doc Maestro + código previo</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Inventario como en la captura, checklist cumplimiento</w:t>
            </w:r>
          </w:p>
        </w:tc>
        <w:tc>
          <w:tcPr>
            <w:tcW w:type="dxa" w:w="1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1 hora</w:t>
            </w:r>
          </w:p>
        </w:tc>
      </w:tr>
      <w:tr>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S5a</w:t>
            </w:r>
          </w:p>
        </w:tc>
        <w:tc>
          <w:tcPr>
            <w:tcW w:type="dxa" w:w="2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Frontend: Layout + Dashboard + Académico</w:t>
            </w:r>
          </w:p>
        </w:tc>
        <w:tc>
          <w:tcPr>
            <w:tcW w:type="dxa" w:w="2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Doc Maestro + código previo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Sidebar, tema oscuro, pantallas académicas</w:t>
            </w:r>
          </w:p>
        </w:tc>
        <w:tc>
          <w:tcPr>
            <w:tcW w:type="dxa" w:w="13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2-3 horas</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S5b</w:t>
            </w:r>
          </w:p>
        </w:tc>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Frontend: Finanzas + RRHH + Inventario</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Doc Maestro + código previo</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Pantallas financieras, EER, liquidaciones, inventario</w:t>
            </w:r>
          </w:p>
        </w:tc>
        <w:tc>
          <w:tcPr>
            <w:tcW w:type="dxa" w:w="1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2-3 horas</w:t>
            </w:r>
          </w:p>
        </w:tc>
      </w:tr>
      <w:tr>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S5c</w:t>
            </w:r>
          </w:p>
        </w:tc>
        <w:tc>
          <w:tcPr>
            <w:tcW w:type="dxa" w:w="2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Frontend: Portal apoderados + Exportaciones</w:t>
            </w:r>
          </w:p>
        </w:tc>
        <w:tc>
          <w:tcPr>
            <w:tcW w:type="dxa" w:w="2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Doc Maestro + código previo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Portal read-only, exports SIGE/Excel/PDF</w:t>
            </w:r>
          </w:p>
        </w:tc>
        <w:tc>
          <w:tcPr>
            <w:tcW w:type="dxa" w:w="13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1-2 horas</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S6</w:t>
            </w:r>
          </w:p>
        </w:tc>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Integraciones: SII + SIGE</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Doc Maestro + código previo</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Emisión DTE vía API, archivos SIGE</w:t>
            </w:r>
          </w:p>
        </w:tc>
        <w:tc>
          <w:tcPr>
            <w:tcW w:type="dxa" w:w="1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1-2 horas</w:t>
            </w:r>
          </w:p>
        </w:tc>
      </w:tr>
    </w:tbl>
    <w:p>
      <w:pPr>
        <w:spacing w:after="60"/>
      </w:pPr>
    </w:p>
    <w:p>
      <w:pPr>
        <w:spacing w:after="100"/>
      </w:pPr>
      <w:r>
        <w:rPr>
          <w:b/>
          <w:bCs/>
        </w:rPr>
        <w:t xml:space="preserve">Total: 16 sesiones, estimado 18-28 horas de Claude Code.</w:t>
      </w:r>
    </w:p>
    <w:p>
      <w:pPr>
        <w:spacing w:after="60"/>
      </w:pPr>
    </w:p>
    <w:p>
      <w:pPr>
        <w:pStyle w:val="Heading2"/>
      </w:pPr>
      <w:r>
        <w:t xml:space="preserve">3. Reglas para cada sesión</w:t>
      </w:r>
    </w:p>
    <w:p>
      <w:pPr>
        <w:spacing w:after="60"/>
      </w:pPr>
    </w:p>
    <w:p>
      <w:pPr>
        <w:pStyle w:val="ListParagraph"/>
        <w:numPr>
          <w:ilvl w:val="0"/>
          <w:numId w:val="3"/>
        </w:numPr>
        <w:spacing w:after="50"/>
      </w:pPr>
      <w:r>
        <w:rPr>
          <w:sz w:val="21"/>
          <w:szCs w:val="21"/>
        </w:rPr>
        <w:t xml:space="preserve">SIEMPRE iniciar la sesión pasando el documento maestro como contexto.</w:t>
      </w:r>
    </w:p>
    <w:p>
      <w:pPr>
        <w:pStyle w:val="ListParagraph"/>
        <w:numPr>
          <w:ilvl w:val="0"/>
          <w:numId w:val="3"/>
        </w:numPr>
        <w:spacing w:after="50"/>
      </w:pPr>
      <w:r>
        <w:rPr>
          <w:sz w:val="21"/>
          <w:szCs w:val="21"/>
        </w:rPr>
        <w:t xml:space="preserve">SIEMPRE decirle al agente: “Construye SOLO el módulo X. No toques nada de los demás módulos.”</w:t>
      </w:r>
    </w:p>
    <w:p>
      <w:pPr>
        <w:pStyle w:val="ListParagraph"/>
        <w:numPr>
          <w:ilvl w:val="0"/>
          <w:numId w:val="3"/>
        </w:numPr>
        <w:spacing w:after="50"/>
      </w:pPr>
      <w:r>
        <w:rPr>
          <w:sz w:val="21"/>
          <w:szCs w:val="21"/>
        </w:rPr>
        <w:t xml:space="preserve">Al TERMINAR cada sesión, verificar con el checklist (Parte IX del doc maestro).</w:t>
      </w:r>
    </w:p>
    <w:p>
      <w:pPr>
        <w:pStyle w:val="ListParagraph"/>
        <w:numPr>
          <w:ilvl w:val="0"/>
          <w:numId w:val="3"/>
        </w:numPr>
        <w:spacing w:after="50"/>
      </w:pPr>
      <w:r>
        <w:rPr>
          <w:sz w:val="21"/>
          <w:szCs w:val="21"/>
        </w:rPr>
        <w:t xml:space="preserve">Si la sesión falla o el agente se confunde, NO seguir en la misma conversación. Abrir una nueva, pasar el doc maestro de nuevo y repetir.</w:t>
      </w:r>
    </w:p>
    <w:p>
      <w:pPr>
        <w:pStyle w:val="ListParagraph"/>
        <w:numPr>
          <w:ilvl w:val="0"/>
          <w:numId w:val="3"/>
        </w:numPr>
        <w:spacing w:after="50"/>
      </w:pPr>
      <w:r>
        <w:rPr>
          <w:sz w:val="21"/>
          <w:szCs w:val="21"/>
        </w:rPr>
        <w:t xml:space="preserve">NUNCA pedir al agente que “termine todo lo que falta”. Siempre especificar exactamente qué módulo.</w:t>
      </w:r>
    </w:p>
    <w:p>
      <w:pPr>
        <w:pStyle w:val="ListParagraph"/>
        <w:numPr>
          <w:ilvl w:val="0"/>
          <w:numId w:val="3"/>
        </w:numPr>
        <w:spacing w:after="50"/>
      </w:pPr>
      <w:r>
        <w:rPr>
          <w:sz w:val="21"/>
          <w:szCs w:val="21"/>
        </w:rPr>
        <w:t xml:space="preserve">Después de cada sesión exitosa, hacer git commit con mensaje descriptivo.</w:t>
      </w:r>
    </w:p>
    <w:p>
      <w:pPr>
        <w:spacing w:after="60"/>
      </w:pPr>
    </w:p>
    <w:p>
      <w:pPr>
        <w:pStyle w:val="Heading2"/>
      </w:pPr>
      <w:r>
        <w:t xml:space="preserve">4. Estrategia de Git entre sesiones</w:t>
      </w:r>
    </w:p>
    <w:p>
      <w:pPr>
        <w:spacing w:after="60"/>
      </w:pPr>
    </w:p>
    <w:p>
      <w:pPr>
        <w:spacing w:after="100"/>
      </w:pPr>
      <w:r>
        <w:t xml:space="preserve">Cada sesión trabaja sobre el código de las sesiones anteriores. Usar Git para mantener el control:</w:t>
      </w:r>
    </w:p>
    <w:p>
      <w:pPr>
        <w:spacing w:after="60"/>
      </w:pPr>
    </w:p>
    <w:p>
      <w:pPr>
        <w:spacing w:after="0" w:line="264"/>
        <w:ind w:left="300"/>
      </w:pPr>
      <w:r>
        <w:rPr>
          <w:rFonts w:ascii="Courier New" w:cs="Courier New" w:eastAsia="Courier New" w:hAnsi="Courier New"/>
          <w:color w:val="2d2d2d"/>
          <w:sz w:val="17"/>
          <w:szCs w:val="17"/>
        </w:rPr>
        <w:t xml:space="preserve"># Después de S0:</w:t>
      </w:r>
    </w:p>
    <w:p>
      <w:pPr>
        <w:spacing w:after="0" w:line="264"/>
        <w:ind w:left="300"/>
      </w:pPr>
      <w:r>
        <w:rPr>
          <w:rFonts w:ascii="Courier New" w:cs="Courier New" w:eastAsia="Courier New" w:hAnsi="Courier New"/>
          <w:color w:val="2d2d2d"/>
          <w:sz w:val="17"/>
          <w:szCs w:val="17"/>
        </w:rPr>
        <w:t xml:space="preserve">git add . &amp;&amp; git commit -m "feat: infraestructura base - auth, prisma, eventbus, seed"</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 Después de S1a:</w:t>
      </w:r>
    </w:p>
    <w:p>
      <w:pPr>
        <w:spacing w:after="0" w:line="264"/>
        <w:ind w:left="300"/>
      </w:pPr>
      <w:r>
        <w:rPr>
          <w:rFonts w:ascii="Courier New" w:cs="Courier New" w:eastAsia="Courier New" w:hAnsi="Courier New"/>
          <w:color w:val="2d2d2d"/>
          <w:sz w:val="17"/>
          <w:szCs w:val="17"/>
        </w:rPr>
        <w:t xml:space="preserve">git add . &amp;&amp; git commit -m "feat: módulo sistema + alumnos"</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 Después de S1b:</w:t>
      </w:r>
    </w:p>
    <w:p>
      <w:pPr>
        <w:spacing w:after="0" w:line="264"/>
        <w:ind w:left="300"/>
      </w:pPr>
      <w:r>
        <w:rPr>
          <w:rFonts w:ascii="Courier New" w:cs="Courier New" w:eastAsia="Courier New" w:hAnsi="Courier New"/>
          <w:color w:val="2d2d2d"/>
          <w:sz w:val="17"/>
          <w:szCs w:val="17"/>
        </w:rPr>
        <w:t xml:space="preserve">git add . &amp;&amp; git commit -m "feat: módulo asistencia + atrasos"</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 Si algo sale mal en una sesión:</w:t>
      </w:r>
    </w:p>
    <w:p>
      <w:pPr>
        <w:spacing w:after="0" w:line="264"/>
        <w:ind w:left="300"/>
      </w:pPr>
      <w:r>
        <w:rPr>
          <w:rFonts w:ascii="Courier New" w:cs="Courier New" w:eastAsia="Courier New" w:hAnsi="Courier New"/>
          <w:color w:val="2d2d2d"/>
          <w:sz w:val="17"/>
          <w:szCs w:val="17"/>
        </w:rPr>
        <w:t xml:space="preserve">git stash  # o git reset --hard HEAD para volver al último commit limpio</w:t>
      </w:r>
    </w:p>
    <w:p>
      <w:pPr>
        <w:spacing w:after="0" w:line="264"/>
        <w:ind w:left="300"/>
      </w:pPr>
      <w:r>
        <w:rPr>
          <w:rFonts w:ascii="Courier New" w:cs="Courier New" w:eastAsia="Courier New" w:hAnsi="Courier New"/>
          <w:color w:val="2d2d2d"/>
          <w:sz w:val="17"/>
          <w:szCs w:val="17"/>
        </w:rPr>
        <w:t xml:space="preserve"/>
      </w:r>
    </w:p>
    <w:p>
      <w:pPr>
        <w:spacing w:after="0" w:line="264"/>
        <w:ind w:left="300"/>
      </w:pPr>
      <w:r>
        <w:rPr>
          <w:rFonts w:ascii="Courier New" w:cs="Courier New" w:eastAsia="Courier New" w:hAnsi="Courier New"/>
          <w:color w:val="2d2d2d"/>
          <w:sz w:val="17"/>
          <w:szCs w:val="17"/>
        </w:rPr>
        <w:t xml:space="preserve"># Branch por fase (opcional pero recomendado):</w:t>
      </w:r>
    </w:p>
    <w:p>
      <w:pPr>
        <w:spacing w:after="0" w:line="264"/>
        <w:ind w:left="300"/>
      </w:pPr>
      <w:r>
        <w:rPr>
          <w:rFonts w:ascii="Courier New" w:cs="Courier New" w:eastAsia="Courier New" w:hAnsi="Courier New"/>
          <w:color w:val="2d2d2d"/>
          <w:sz w:val="17"/>
          <w:szCs w:val="17"/>
        </w:rPr>
        <w:t xml:space="preserve">git checkout -b fase-1-academico</w:t>
      </w:r>
    </w:p>
    <w:p>
      <w:pPr>
        <w:spacing w:after="0" w:line="264"/>
        <w:ind w:left="300"/>
      </w:pPr>
      <w:r>
        <w:rPr>
          <w:rFonts w:ascii="Courier New" w:cs="Courier New" w:eastAsia="Courier New" w:hAnsi="Courier New"/>
          <w:color w:val="2d2d2d"/>
          <w:sz w:val="17"/>
          <w:szCs w:val="17"/>
        </w:rPr>
        <w:t xml:space="preserve"># ... construir todos los módulos de Fase 1 ...</w:t>
      </w:r>
    </w:p>
    <w:p>
      <w:pPr>
        <w:spacing w:after="0" w:line="264"/>
        <w:ind w:left="300"/>
      </w:pPr>
      <w:r>
        <w:rPr>
          <w:rFonts w:ascii="Courier New" w:cs="Courier New" w:eastAsia="Courier New" w:hAnsi="Courier New"/>
          <w:color w:val="2d2d2d"/>
          <w:sz w:val="17"/>
          <w:szCs w:val="17"/>
        </w:rPr>
        <w:t xml:space="preserve">git checkout main &amp;&amp; git merge fase-1-academico</w:t>
      </w:r>
    </w:p>
    <w:p>
      <w:pPr>
        <w:spacing w:after="60"/>
      </w:pPr>
    </w:p>
    <w:p>
      <w:pPr>
        <w:pStyle w:val="Heading2"/>
      </w:pPr>
      <w:r>
        <w:t xml:space="preserve">5. Sesión de reparación (fix de bugs)</w:t>
      </w:r>
    </w:p>
    <w:p>
      <w:pPr>
        <w:spacing w:after="100"/>
      </w:pPr>
      <w:r>
        <w:t xml:space="preserve">Cuando encuentres un bug en un módulo específico después de haberlo construido:</w:t>
      </w:r>
    </w:p>
    <w:p>
      <w:pPr>
        <w:spacing w:after="60"/>
      </w:pPr>
    </w:p>
    <w:p>
      <w:pPr>
        <w:pStyle w:val="ListParagraph"/>
        <w:numPr>
          <w:ilvl w:val="0"/>
          <w:numId w:val="3"/>
        </w:numPr>
        <w:spacing w:after="50"/>
      </w:pPr>
      <w:r>
        <w:rPr>
          <w:sz w:val="21"/>
          <w:szCs w:val="21"/>
        </w:rPr>
        <w:t xml:space="preserve">Abrir nueva sesión de Claude Code</w:t>
      </w:r>
    </w:p>
    <w:p>
      <w:pPr>
        <w:pStyle w:val="ListParagraph"/>
        <w:numPr>
          <w:ilvl w:val="0"/>
          <w:numId w:val="3"/>
        </w:numPr>
        <w:spacing w:after="50"/>
      </w:pPr>
      <w:r>
        <w:rPr>
          <w:sz w:val="21"/>
          <w:szCs w:val="21"/>
        </w:rPr>
        <w:t xml:space="preserve">Pasar el documento maestro como contexto</w:t>
      </w:r>
    </w:p>
    <w:p>
      <w:pPr>
        <w:pStyle w:val="ListParagraph"/>
        <w:numPr>
          <w:ilvl w:val="0"/>
          <w:numId w:val="3"/>
        </w:numPr>
        <w:spacing w:after="50"/>
      </w:pPr>
      <w:r>
        <w:rPr>
          <w:sz w:val="21"/>
          <w:szCs w:val="21"/>
        </w:rPr>
        <w:t xml:space="preserve">Decirle exactamente: “Hay un bug en el módulo X: [descripción]. Arréglalo respetando el contrato del módulo (Parte IV del doc maestro). No toques código de otros módulos.”</w:t>
      </w:r>
    </w:p>
    <w:p>
      <w:pPr>
        <w:pStyle w:val="ListParagraph"/>
        <w:numPr>
          <w:ilvl w:val="0"/>
          <w:numId w:val="3"/>
        </w:numPr>
        <w:spacing w:after="50"/>
      </w:pPr>
      <w:r>
        <w:rPr>
          <w:sz w:val="21"/>
          <w:szCs w:val="21"/>
        </w:rPr>
        <w:t xml:space="preserve">Verificar que el fix NO cambia ningún evento emitido ni endpoint</w:t>
      </w:r>
    </w:p>
    <w:p>
      <w:pPr>
        <w:pStyle w:val="ListParagraph"/>
        <w:numPr>
          <w:ilvl w:val="0"/>
          <w:numId w:val="3"/>
        </w:numPr>
        <w:spacing w:after="50"/>
      </w:pPr>
      <w:r>
        <w:rPr>
          <w:sz w:val="21"/>
          <w:szCs w:val="21"/>
        </w:rPr>
        <w:t xml:space="preserve">Ejecutar tests del módulo: npm run test -- --filter=[modulo]</w:t>
      </w:r>
    </w:p>
    <w:p>
      <w:pPr>
        <w:pStyle w:val="ListParagraph"/>
        <w:numPr>
          <w:ilvl w:val="0"/>
          <w:numId w:val="3"/>
        </w:numPr>
        <w:spacing w:after="50"/>
      </w:pPr>
      <w:r>
        <w:rPr>
          <w:sz w:val="21"/>
          <w:szCs w:val="21"/>
        </w:rPr>
        <w:t xml:space="preserve">Si el fix requiere cambiar un evento, actualizar packages/shared/events.ts PRIMERO y luego todos los consumidores</w:t>
      </w:r>
    </w:p>
    <w:p>
      <w:pPr>
        <w:spacing w:after="60"/>
      </w:pPr>
    </w:p>
    <w:p>
      <w:pPr>
        <w:spacing w:after="100"/>
      </w:pPr>
      <w:r>
        <w:rPr>
          <w:b/>
          <w:bCs/>
        </w:rPr>
        <w:t xml:space="preserve">Esto es posible PORQUE los módulos son independientes. El contrato es la garantía.</w:t>
      </w:r>
    </w:p>
    <w:p>
      <w:r>
        <w:br w:type="page"/>
      </w:r>
    </w:p>
    <w:p>
      <w:pPr>
        <w:pStyle w:val="Heading1"/>
      </w:pPr>
      <w:r>
        <w:t xml:space="preserve">PARTE B — Fuentes de datos y alimentación del sistema</w:t>
      </w:r>
    </w:p>
    <w:p>
      <w:pPr>
        <w:spacing w:after="60"/>
      </w:pPr>
    </w:p>
    <w:p>
      <w:pPr>
        <w:spacing w:after="100"/>
      </w:pPr>
      <w:r>
        <w:t xml:space="preserve">Este capítulo define DE DÓNDE viene cada dato que entra al ERP, EN QUÉ FORMATO, y QUIÉN lo ingresa. Sin esto, el sistema está vacío.</w:t>
      </w:r>
    </w:p>
    <w:p>
      <w:pPr>
        <w:spacing w:after="60"/>
      </w:pPr>
    </w:p>
    <w:p>
      <w:pPr>
        <w:pStyle w:val="Heading2"/>
      </w:pPr>
      <w:r>
        <w:t xml:space="preserve">6. Tipos de fuentes de datos</w:t>
      </w:r>
    </w:p>
    <w:p>
      <w:pPr>
        <w:spacing w:after="60"/>
      </w:pPr>
    </w:p>
    <w:p>
      <w:pPr>
        <w:pStyle w:val="ListParagraph"/>
        <w:numPr>
          <w:ilvl w:val="0"/>
          <w:numId w:val="2"/>
        </w:numPr>
        <w:spacing w:after="50"/>
      </w:pPr>
      <w:r>
        <w:rPr>
          <w:b/>
          <w:bCs/>
          <w:sz w:val="21"/>
          <w:szCs w:val="21"/>
        </w:rPr>
        <w:t xml:space="preserve">Ingreso manual por usuario: </w:t>
      </w:r>
      <w:r>
        <w:rPr>
          <w:sz w:val="21"/>
          <w:szCs w:val="21"/>
        </w:rPr>
        <w:t xml:space="preserve">El funcionario del colegio ingresa datos directamente en formularios del ERP. Es la fuente principal para la mayoría de los módulos.</w:t>
      </w:r>
    </w:p>
    <w:p>
      <w:pPr>
        <w:pStyle w:val="ListParagraph"/>
        <w:numPr>
          <w:ilvl w:val="0"/>
          <w:numId w:val="2"/>
        </w:numPr>
        <w:spacing w:after="50"/>
      </w:pPr>
      <w:r>
        <w:rPr>
          <w:b/>
          <w:bCs/>
          <w:sz w:val="21"/>
          <w:szCs w:val="21"/>
        </w:rPr>
        <w:t xml:space="preserve">Importación de archivos: </w:t>
      </w:r>
      <w:r>
        <w:rPr>
          <w:sz w:val="21"/>
          <w:szCs w:val="21"/>
        </w:rPr>
        <w:t xml:space="preserve">El usuario sube un archivo (Excel, CSV) y el sistema lo procesa automáticamente. Para datos masivos como cartola bancaria o nómina de alumnos.</w:t>
      </w:r>
    </w:p>
    <w:p>
      <w:pPr>
        <w:pStyle w:val="ListParagraph"/>
        <w:numPr>
          <w:ilvl w:val="0"/>
          <w:numId w:val="2"/>
        </w:numPr>
        <w:spacing w:after="50"/>
      </w:pPr>
      <w:r>
        <w:rPr>
          <w:b/>
          <w:bCs/>
          <w:sz w:val="21"/>
          <w:szCs w:val="21"/>
        </w:rPr>
        <w:t xml:space="preserve">Integración API: </w:t>
      </w:r>
      <w:r>
        <w:rPr>
          <w:sz w:val="21"/>
          <w:szCs w:val="21"/>
        </w:rPr>
        <w:t xml:space="preserve">El sistema se conecta a una API externa para leer o enviar datos. Para SII, SIGE, pasarelas de pago.</w:t>
      </w:r>
    </w:p>
    <w:p>
      <w:pPr>
        <w:pStyle w:val="ListParagraph"/>
        <w:numPr>
          <w:ilvl w:val="0"/>
          <w:numId w:val="2"/>
        </w:numPr>
        <w:spacing w:after="50"/>
      </w:pPr>
      <w:r>
        <w:rPr>
          <w:b/>
          <w:bCs/>
          <w:sz w:val="21"/>
          <w:szCs w:val="21"/>
        </w:rPr>
        <w:t xml:space="preserve">Formularios públicos: </w:t>
      </w:r>
      <w:r>
        <w:rPr>
          <w:sz w:val="21"/>
          <w:szCs w:val="21"/>
        </w:rPr>
        <w:t xml:space="preserve">Personas externas (apoderados) llenan formularios web que alimentan el sistema. Para pre-matrícula y actualización de datos.</w:t>
      </w:r>
    </w:p>
    <w:p>
      <w:pPr>
        <w:pStyle w:val="ListParagraph"/>
        <w:numPr>
          <w:ilvl w:val="0"/>
          <w:numId w:val="2"/>
        </w:numPr>
        <w:spacing w:after="50"/>
      </w:pPr>
      <w:r>
        <w:rPr>
          <w:b/>
          <w:bCs/>
          <w:sz w:val="21"/>
          <w:szCs w:val="21"/>
        </w:rPr>
        <w:t xml:space="preserve">Google Drive (opcional): </w:t>
      </w:r>
      <w:r>
        <w:rPr>
          <w:sz w:val="21"/>
          <w:szCs w:val="21"/>
        </w:rPr>
        <w:t xml:space="preserve">El ERP lee archivos desde carpetas específicas de Google Drive configuradas por el colegio. Para colegios que ya tienen información organizada en Drive.</w:t>
      </w:r>
    </w:p>
    <w:p>
      <w:pPr>
        <w:pStyle w:val="ListParagraph"/>
        <w:numPr>
          <w:ilvl w:val="0"/>
          <w:numId w:val="2"/>
        </w:numPr>
        <w:spacing w:after="50"/>
      </w:pPr>
      <w:r>
        <w:rPr>
          <w:b/>
          <w:bCs/>
          <w:sz w:val="21"/>
          <w:szCs w:val="21"/>
        </w:rPr>
        <w:t xml:space="preserve">Webhooks: </w:t>
      </w:r>
      <w:r>
        <w:rPr>
          <w:sz w:val="21"/>
          <w:szCs w:val="21"/>
        </w:rPr>
        <w:t xml:space="preserve">Servicios externos notifican al ERP cuando ocurre algo. Para confirmación de pagos online.</w:t>
      </w:r>
    </w:p>
    <w:p>
      <w:pPr>
        <w:spacing w:after="60"/>
      </w:pPr>
    </w:p>
    <w:p>
      <w:pPr>
        <w:pStyle w:val="Heading2"/>
      </w:pPr>
      <w:r>
        <w:t xml:space="preserve">7. Fuentes de datos por módulo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cccccc" w:sz="1"/>
              <w:left w:val="single" w:color="cccccc" w:sz="1"/>
              <w:bottom w:val="single" w:color="cccccc" w:sz="1"/>
              <w:right w:val="single" w:color="cccccc" w:sz="1"/>
            </w:tcBorders>
            <w:shd w:fill="185fa5" w:val="clear"/>
            <w:tcMar>
              <w:top w:type="dxa" w:w="55"/>
              <w:left w:type="dxa" w:w="90"/>
              <w:bottom w:type="dxa" w:w="55"/>
              <w:right w:type="dxa" w:w="90"/>
            </w:tcMar>
          </w:tcPr>
          <w:p>
            <w:r>
              <w:rPr>
                <w:rFonts w:ascii="Arial" w:cs="Arial" w:eastAsia="Arial" w:hAnsi="Arial"/>
                <w:b/>
                <w:bCs/>
                <w:color w:val="ffffff"/>
                <w:sz w:val="19"/>
                <w:szCs w:val="19"/>
              </w:rPr>
              <w:t xml:space="preserve">Módulo</w:t>
            </w:r>
          </w:p>
        </w:tc>
        <w:tc>
          <w:tcPr>
            <w:tcW w:type="dxa" w:w="2200"/>
            <w:tcBorders>
              <w:top w:val="single" w:color="cccccc" w:sz="1"/>
              <w:left w:val="single" w:color="cccccc" w:sz="1"/>
              <w:bottom w:val="single" w:color="cccccc" w:sz="1"/>
              <w:right w:val="single" w:color="cccccc" w:sz="1"/>
            </w:tcBorders>
            <w:shd w:fill="185fa5" w:val="clear"/>
            <w:tcMar>
              <w:top w:type="dxa" w:w="55"/>
              <w:left w:type="dxa" w:w="90"/>
              <w:bottom w:type="dxa" w:w="55"/>
              <w:right w:type="dxa" w:w="90"/>
            </w:tcMar>
          </w:tcPr>
          <w:p>
            <w:r>
              <w:rPr>
                <w:rFonts w:ascii="Arial" w:cs="Arial" w:eastAsia="Arial" w:hAnsi="Arial"/>
                <w:b/>
                <w:bCs/>
                <w:color w:val="ffffff"/>
                <w:sz w:val="19"/>
                <w:szCs w:val="19"/>
              </w:rPr>
              <w:t xml:space="preserve">Fuente principal</w:t>
            </w:r>
          </w:p>
        </w:tc>
        <w:tc>
          <w:tcPr>
            <w:tcW w:type="dxa" w:w="2600"/>
            <w:tcBorders>
              <w:top w:val="single" w:color="cccccc" w:sz="1"/>
              <w:left w:val="single" w:color="cccccc" w:sz="1"/>
              <w:bottom w:val="single" w:color="cccccc" w:sz="1"/>
              <w:right w:val="single" w:color="cccccc" w:sz="1"/>
            </w:tcBorders>
            <w:shd w:fill="185fa5" w:val="clear"/>
            <w:tcMar>
              <w:top w:type="dxa" w:w="55"/>
              <w:left w:type="dxa" w:w="90"/>
              <w:bottom w:type="dxa" w:w="55"/>
              <w:right w:type="dxa" w:w="90"/>
            </w:tcMar>
          </w:tcPr>
          <w:p>
            <w:r>
              <w:rPr>
                <w:rFonts w:ascii="Arial" w:cs="Arial" w:eastAsia="Arial" w:hAnsi="Arial"/>
                <w:b/>
                <w:bCs/>
                <w:color w:val="ffffff"/>
                <w:sz w:val="19"/>
                <w:szCs w:val="19"/>
              </w:rPr>
              <w:t xml:space="preserve">Fuentes secundarias</w:t>
            </w:r>
          </w:p>
        </w:tc>
        <w:tc>
          <w:tcPr>
            <w:tcW w:type="dxa" w:w="2960"/>
            <w:tcBorders>
              <w:top w:val="single" w:color="cccccc" w:sz="1"/>
              <w:left w:val="single" w:color="cccccc" w:sz="1"/>
              <w:bottom w:val="single" w:color="cccccc" w:sz="1"/>
              <w:right w:val="single" w:color="cccccc" w:sz="1"/>
            </w:tcBorders>
            <w:shd w:fill="185fa5" w:val="clear"/>
            <w:tcMar>
              <w:top w:type="dxa" w:w="55"/>
              <w:left w:type="dxa" w:w="90"/>
              <w:bottom w:type="dxa" w:w="55"/>
              <w:right w:type="dxa" w:w="90"/>
            </w:tcMar>
          </w:tcPr>
          <w:p>
            <w:r>
              <w:rPr>
                <w:rFonts w:ascii="Arial" w:cs="Arial" w:eastAsia="Arial" w:hAnsi="Arial"/>
                <w:b/>
                <w:bCs/>
                <w:color w:val="ffffff"/>
                <w:sz w:val="19"/>
                <w:szCs w:val="19"/>
              </w:rPr>
              <w:t xml:space="preserve">Formatos de importación</w:t>
            </w:r>
          </w:p>
        </w:tc>
      </w:tr>
      <w:tr>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Alumnos / Matrícula</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Ingreso manual (Secretaría)</w:t>
            </w:r>
          </w:p>
        </w:tc>
        <w:tc>
          <w:tcPr>
            <w:tcW w:type="dxa" w:w="2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Importación masiva Excel (nómina), Formulario público (pre-matrícula), SIGE (importar alumnos existentes)</w:t>
            </w:r>
          </w:p>
        </w:tc>
        <w:tc>
          <w:tcPr>
            <w:tcW w:type="dxa" w:w="2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Excel: columnas RUN, Nombres, Apellidos, Fecha Nac., Género, Dirección, Apoderado RUN, Apoderado Nombre, Apoderado Tel, Apoderado Email</w:t>
            </w:r>
          </w:p>
        </w:tc>
      </w:tr>
      <w:tr>
        <w:tc>
          <w:tcPr>
            <w:tcW w:type="dxa" w:w="1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Asistencia</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Ingreso manual (Inspector/Docente en web o tablet)</w:t>
            </w:r>
          </w:p>
        </w:tc>
        <w:tc>
          <w:tcPr>
            <w:tcW w:type="dxa" w:w="2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Importación Excel (para carga histórica)</w:t>
            </w:r>
          </w:p>
        </w:tc>
        <w:tc>
          <w:tcPr>
            <w:tcW w:type="dxa" w:w="2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Excel: columnas RUN Alumno, Fecha, Estado (P/A/T/J)</w:t>
            </w:r>
          </w:p>
        </w:tc>
      </w:tr>
      <w:tr>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Calificaciones</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Ingreso manual (Docente en web o app)</w:t>
            </w:r>
          </w:p>
        </w:tc>
        <w:tc>
          <w:tcPr>
            <w:tcW w:type="dxa" w:w="2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Importación Excel (para carga masiva de notas)</w:t>
            </w:r>
          </w:p>
        </w:tc>
        <w:tc>
          <w:tcPr>
            <w:tcW w:type="dxa" w:w="2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Excel: columnas RUN Alumno, Asignatura, Evaluación, Nota, Ponderación, Fecha</w:t>
            </w:r>
          </w:p>
        </w:tc>
      </w:tr>
      <w:tr>
        <w:tc>
          <w:tcPr>
            <w:tcW w:type="dxa" w:w="1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Convivencia</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Ingreso manual (Inspector, Docente Jefe)</w:t>
            </w:r>
          </w:p>
        </w:tc>
        <w:tc>
          <w:tcPr>
            <w:tcW w:type="dxa" w:w="2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(ninguna)</w:t>
            </w:r>
          </w:p>
        </w:tc>
        <w:tc>
          <w:tcPr>
            <w:tcW w:type="dxa" w:w="2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N/A</w:t>
            </w:r>
          </w:p>
        </w:tc>
      </w:tr>
      <w:tr>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Leccionario</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Ingreso manual (Docente)</w:t>
            </w:r>
          </w:p>
        </w:tc>
        <w:tc>
          <w:tcPr>
            <w:tcW w:type="dxa" w:w="2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(ninguna)</w:t>
            </w:r>
          </w:p>
        </w:tc>
        <w:tc>
          <w:tcPr>
            <w:tcW w:type="dxa" w:w="2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N/A</w:t>
            </w:r>
          </w:p>
        </w:tc>
      </w:tr>
      <w:tr>
        <w:tc>
          <w:tcPr>
            <w:tcW w:type="dxa" w:w="1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Finanzas: Ingresos</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Conciliación bancaria (importación), Manual</w:t>
            </w:r>
          </w:p>
        </w:tc>
        <w:tc>
          <w:tcPr>
            <w:tcW w:type="dxa" w:w="2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Webhook de Mineduc (subvenciones), API SII (libro de compras)</w:t>
            </w:r>
          </w:p>
        </w:tc>
        <w:tc>
          <w:tcPr>
            <w:tcW w:type="dxa" w:w="2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Excel/CSV/OFX cartola bancaria: Fecha, Descripción, Monto, Referencia</w:t>
            </w:r>
          </w:p>
        </w:tc>
      </w:tr>
      <w:tr>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Finanzas: Egresos</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Conciliación bancaria, Manual, Importación SII</w:t>
            </w:r>
          </w:p>
        </w:tc>
        <w:tc>
          <w:tcPr>
            <w:tcW w:type="dxa" w:w="2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API SII (libro de compras, libro de honorarios)</w:t>
            </w:r>
          </w:p>
        </w:tc>
        <w:tc>
          <w:tcPr>
            <w:tcW w:type="dxa" w:w="2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JSON desde API SII: folio, rut_proveedor, monto, fecha, tipo_dte</w:t>
            </w:r>
          </w:p>
        </w:tc>
      </w:tr>
      <w:tr>
        <w:tc>
          <w:tcPr>
            <w:tcW w:type="dxa" w:w="1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Finanzas: Pagos arancel</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Webhook pasarela (Webpay/Khipu), Manual</w:t>
            </w:r>
          </w:p>
        </w:tc>
        <w:tc>
          <w:tcPr>
            <w:tcW w:type="dxa" w:w="2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Importación de cartola bancaria (matching)</w:t>
            </w:r>
          </w:p>
        </w:tc>
        <w:tc>
          <w:tcPr>
            <w:tcW w:type="dxa" w:w="2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Webhook JSON: transaction_id, amount, status, timestamp</w:t>
            </w:r>
          </w:p>
        </w:tc>
      </w:tr>
      <w:tr>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RRHH: Funcionarios</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Ingreso manual (Admin RRHH)</w:t>
            </w:r>
          </w:p>
        </w:tc>
        <w:tc>
          <w:tcPr>
            <w:tcW w:type="dxa" w:w="2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Importación Excel (carga inicial)</w:t>
            </w:r>
          </w:p>
        </w:tc>
        <w:tc>
          <w:tcPr>
            <w:tcW w:type="dxa" w:w="2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Excel: RUN, Nombres, Apellidos, Cargo, Tipo, Horas, Sueldo, Fecha Ingreso</w:t>
            </w:r>
          </w:p>
        </w:tc>
      </w:tr>
      <w:tr>
        <w:tc>
          <w:tcPr>
            <w:tcW w:type="dxa" w:w="1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RRHH: Marcas asistencia</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Manual o Reloj biométrico</w:t>
            </w:r>
          </w:p>
        </w:tc>
        <w:tc>
          <w:tcPr>
            <w:tcW w:type="dxa" w:w="2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Importación CSV del reloj</w:t>
            </w:r>
          </w:p>
        </w:tc>
        <w:tc>
          <w:tcPr>
            <w:tcW w:type="dxa" w:w="2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CSV: RUN, Fecha, Hora, Tipo (entrada/salida)</w:t>
            </w:r>
          </w:p>
        </w:tc>
      </w:tr>
      <w:tr>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RRHH: Liquidaciones</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Cálculo automático del sistema</w:t>
            </w:r>
          </w:p>
        </w:tc>
        <w:tc>
          <w:tcPr>
            <w:tcW w:type="dxa" w:w="2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Datos de marcas + contratos + configuración</w:t>
            </w:r>
          </w:p>
        </w:tc>
        <w:tc>
          <w:tcPr>
            <w:tcW w:type="dxa" w:w="2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Auto-generado (no se importa)</w:t>
            </w:r>
          </w:p>
        </w:tc>
      </w:tr>
      <w:tr>
        <w:tc>
          <w:tcPr>
            <w:tcW w:type="dxa" w:w="1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Inventario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Ingreso manual (Encargado)</w:t>
            </w:r>
          </w:p>
        </w:tc>
        <w:tc>
          <w:tcPr>
            <w:tcW w:type="dxa" w:w="2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Importación Excel (carga inicial masiva)</w:t>
            </w:r>
          </w:p>
        </w:tc>
        <w:tc>
          <w:tcPr>
            <w:tcW w:type="dxa" w:w="2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Excel: Nombre, Categoría, Marca, Modelo, Sala, Responsable, Estado, Valor, Fecha Adquisición</w:t>
            </w:r>
          </w:p>
        </w:tc>
      </w:tr>
      <w:tr>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PME</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Ingreso manual (Director, UTP)</w:t>
            </w:r>
          </w:p>
        </w:tc>
        <w:tc>
          <w:tcPr>
            <w:tcW w:type="dxa" w:w="2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(ninguna)</w:t>
            </w:r>
          </w:p>
        </w:tc>
        <w:tc>
          <w:tcPr>
            <w:tcW w:type="dxa" w:w="2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N/A</w:t>
            </w:r>
          </w:p>
        </w:tc>
      </w:tr>
      <w:tr>
        <w:tc>
          <w:tcPr>
            <w:tcW w:type="dxa" w:w="1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Cumplimiento</w:t>
            </w:r>
          </w:p>
        </w:tc>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Auto-alimentado por eventos + manual</w:t>
            </w:r>
          </w:p>
        </w:tc>
        <w:tc>
          <w:tcPr>
            <w:tcW w:type="dxa" w:w="26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Eventos del sistema actualizan automáticamente</w:t>
            </w:r>
          </w:p>
        </w:tc>
        <w:tc>
          <w:tcPr>
            <w:tcW w:type="dxa" w:w="2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N/A</w:t>
            </w:r>
          </w:p>
        </w:tc>
      </w:tr>
    </w:tbl>
    <w:p>
      <w:pPr>
        <w:spacing w:after="60"/>
      </w:pPr>
    </w:p>
    <w:p>
      <w:r>
        <w:br w:type="page"/>
      </w:r>
    </w:p>
    <w:p>
      <w:pPr>
        <w:pStyle w:val="Heading2"/>
      </w:pPr>
      <w:r>
        <w:t xml:space="preserve">8. Especificación de formatos de importación</w:t>
      </w:r>
    </w:p>
    <w:p>
      <w:pPr>
        <w:spacing w:after="100"/>
      </w:pPr>
      <w:r>
        <w:t xml:space="preserve">Para cada importación de archivo, el sistema debe:</w:t>
      </w:r>
    </w:p>
    <w:p>
      <w:pPr>
        <w:spacing w:after="60"/>
      </w:pPr>
    </w:p>
    <w:p>
      <w:pPr>
        <w:pStyle w:val="ListParagraph"/>
        <w:numPr>
          <w:ilvl w:val="0"/>
          <w:numId w:val="3"/>
        </w:numPr>
        <w:spacing w:after="50"/>
      </w:pPr>
      <w:r>
        <w:rPr>
          <w:sz w:val="21"/>
          <w:szCs w:val="21"/>
        </w:rPr>
        <w:t xml:space="preserve">Validar el formato del archivo (extensión y estructura interna)</w:t>
      </w:r>
    </w:p>
    <w:p>
      <w:pPr>
        <w:pStyle w:val="ListParagraph"/>
        <w:numPr>
          <w:ilvl w:val="0"/>
          <w:numId w:val="3"/>
        </w:numPr>
        <w:spacing w:after="50"/>
      </w:pPr>
      <w:r>
        <w:rPr>
          <w:sz w:val="21"/>
          <w:szCs w:val="21"/>
        </w:rPr>
        <w:t xml:space="preserve">Validar que las columnas obligatorias existan (por nombre de cabecera)</w:t>
      </w:r>
    </w:p>
    <w:p>
      <w:pPr>
        <w:pStyle w:val="ListParagraph"/>
        <w:numPr>
          <w:ilvl w:val="0"/>
          <w:numId w:val="3"/>
        </w:numPr>
        <w:spacing w:after="50"/>
      </w:pPr>
      <w:r>
        <w:rPr>
          <w:sz w:val="21"/>
          <w:szCs w:val="21"/>
        </w:rPr>
        <w:t xml:space="preserve">Validar cada fila individualmente según las reglas de la Parte VI del doc maestro</w:t>
      </w:r>
    </w:p>
    <w:p>
      <w:pPr>
        <w:pStyle w:val="ListParagraph"/>
        <w:numPr>
          <w:ilvl w:val="0"/>
          <w:numId w:val="3"/>
        </w:numPr>
        <w:spacing w:after="50"/>
      </w:pPr>
      <w:r>
        <w:rPr>
          <w:sz w:val="21"/>
          <w:szCs w:val="21"/>
        </w:rPr>
        <w:t xml:space="preserve">Generar reporte de errores: fila N, columna X, error Y</w:t>
      </w:r>
    </w:p>
    <w:p>
      <w:pPr>
        <w:pStyle w:val="ListParagraph"/>
        <w:numPr>
          <w:ilvl w:val="0"/>
          <w:numId w:val="3"/>
        </w:numPr>
        <w:spacing w:after="50"/>
      </w:pPr>
      <w:r>
        <w:rPr>
          <w:sz w:val="21"/>
          <w:szCs w:val="21"/>
        </w:rPr>
        <w:t xml:space="preserve">Mostrar preview de las primeras 10 filas antes de confirmar la importación</w:t>
      </w:r>
    </w:p>
    <w:p>
      <w:pPr>
        <w:pStyle w:val="ListParagraph"/>
        <w:numPr>
          <w:ilvl w:val="0"/>
          <w:numId w:val="3"/>
        </w:numPr>
        <w:spacing w:after="50"/>
      </w:pPr>
      <w:r>
        <w:rPr>
          <w:sz w:val="21"/>
          <w:szCs w:val="21"/>
        </w:rPr>
        <w:t xml:space="preserve">Permitir al usuario corregir errores y reintentar</w:t>
      </w:r>
    </w:p>
    <w:p>
      <w:pPr>
        <w:pStyle w:val="ListParagraph"/>
        <w:numPr>
          <w:ilvl w:val="0"/>
          <w:numId w:val="3"/>
        </w:numPr>
        <w:spacing w:after="50"/>
      </w:pPr>
      <w:r>
        <w:rPr>
          <w:sz w:val="21"/>
          <w:szCs w:val="21"/>
        </w:rPr>
        <w:t xml:space="preserve">Registrar en auditoría: quién importó, cuántos registros, fecha</w:t>
      </w:r>
    </w:p>
    <w:p>
      <w:pPr>
        <w:spacing w:after="60"/>
      </w:pPr>
    </w:p>
    <w:p>
      <w:pPr>
        <w:pStyle w:val="Heading3"/>
      </w:pPr>
      <w:r>
        <w:t xml:space="preserve">8.1 Importación de alumnos (Excel)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960"/>
      </w:tblGrid>
      <w:tr>
        <w:tc>
          <w:tcPr>
            <w:tcW w:type="dxa" w:w="2200"/>
            <w:tcBorders>
              <w:top w:val="single" w:color="cccccc" w:sz="1"/>
              <w:left w:val="single" w:color="cccccc" w:sz="1"/>
              <w:bottom w:val="single" w:color="cccccc" w:sz="1"/>
              <w:right w:val="single" w:color="cccccc" w:sz="1"/>
            </w:tcBorders>
            <w:shd w:fill="0f6e56" w:val="clear"/>
            <w:tcMar>
              <w:top w:type="dxa" w:w="55"/>
              <w:left w:type="dxa" w:w="90"/>
              <w:bottom w:type="dxa" w:w="55"/>
              <w:right w:type="dxa" w:w="90"/>
            </w:tcMar>
          </w:tcPr>
          <w:p>
            <w:r>
              <w:rPr>
                <w:rFonts w:ascii="Arial" w:cs="Arial" w:eastAsia="Arial" w:hAnsi="Arial"/>
                <w:b/>
                <w:bCs/>
                <w:color w:val="ffffff"/>
                <w:sz w:val="19"/>
                <w:szCs w:val="19"/>
              </w:rPr>
              <w:t xml:space="preserve">Columna</w:t>
            </w:r>
          </w:p>
        </w:tc>
        <w:tc>
          <w:tcPr>
            <w:tcW w:type="dxa" w:w="1000"/>
            <w:tcBorders>
              <w:top w:val="single" w:color="cccccc" w:sz="1"/>
              <w:left w:val="single" w:color="cccccc" w:sz="1"/>
              <w:bottom w:val="single" w:color="cccccc" w:sz="1"/>
              <w:right w:val="single" w:color="cccccc" w:sz="1"/>
            </w:tcBorders>
            <w:shd w:fill="0f6e56" w:val="clear"/>
            <w:tcMar>
              <w:top w:type="dxa" w:w="55"/>
              <w:left w:type="dxa" w:w="90"/>
              <w:bottom w:type="dxa" w:w="55"/>
              <w:right w:type="dxa" w:w="90"/>
            </w:tcMar>
          </w:tcPr>
          <w:p>
            <w:r>
              <w:rPr>
                <w:rFonts w:ascii="Arial" w:cs="Arial" w:eastAsia="Arial" w:hAnsi="Arial"/>
                <w:b/>
                <w:bCs/>
                <w:color w:val="ffffff"/>
                <w:sz w:val="19"/>
                <w:szCs w:val="19"/>
              </w:rPr>
              <w:t xml:space="preserve">Tipo</w:t>
            </w:r>
          </w:p>
        </w:tc>
        <w:tc>
          <w:tcPr>
            <w:tcW w:type="dxa" w:w="1200"/>
            <w:tcBorders>
              <w:top w:val="single" w:color="cccccc" w:sz="1"/>
              <w:left w:val="single" w:color="cccccc" w:sz="1"/>
              <w:bottom w:val="single" w:color="cccccc" w:sz="1"/>
              <w:right w:val="single" w:color="cccccc" w:sz="1"/>
            </w:tcBorders>
            <w:shd w:fill="0f6e56" w:val="clear"/>
            <w:tcMar>
              <w:top w:type="dxa" w:w="55"/>
              <w:left w:type="dxa" w:w="90"/>
              <w:bottom w:type="dxa" w:w="55"/>
              <w:right w:type="dxa" w:w="90"/>
            </w:tcMar>
          </w:tcPr>
          <w:p>
            <w:r>
              <w:rPr>
                <w:rFonts w:ascii="Arial" w:cs="Arial" w:eastAsia="Arial" w:hAnsi="Arial"/>
                <w:b/>
                <w:bCs/>
                <w:color w:val="ffffff"/>
                <w:sz w:val="19"/>
                <w:szCs w:val="19"/>
              </w:rPr>
              <w:t xml:space="preserve">Obligatoria</w:t>
            </w:r>
          </w:p>
        </w:tc>
        <w:tc>
          <w:tcPr>
            <w:tcW w:type="dxa" w:w="4960"/>
            <w:tcBorders>
              <w:top w:val="single" w:color="cccccc" w:sz="1"/>
              <w:left w:val="single" w:color="cccccc" w:sz="1"/>
              <w:bottom w:val="single" w:color="cccccc" w:sz="1"/>
              <w:right w:val="single" w:color="cccccc" w:sz="1"/>
            </w:tcBorders>
            <w:shd w:fill="0f6e56" w:val="clear"/>
            <w:tcMar>
              <w:top w:type="dxa" w:w="55"/>
              <w:left w:type="dxa" w:w="90"/>
              <w:bottom w:type="dxa" w:w="55"/>
              <w:right w:type="dxa" w:w="90"/>
            </w:tcMar>
          </w:tcPr>
          <w:p>
            <w:r>
              <w:rPr>
                <w:rFonts w:ascii="Arial" w:cs="Arial" w:eastAsia="Arial" w:hAnsi="Arial"/>
                <w:b/>
                <w:bCs/>
                <w:color w:val="ffffff"/>
                <w:sz w:val="19"/>
                <w:szCs w:val="19"/>
              </w:rPr>
              <w:t xml:space="preserve">Validación</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RUN</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Formato XX.XXX.XXX-X, dígito verificador válido</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Nombres</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Mínimo 2 caracteres, sin números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Apellido Paterno</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Mínimo 2 caracteres</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Apellido Materno</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Mínimo 2 caracteres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Fecha Nacimiento</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Fecha</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Formato DD/MM/YYYY, no futura, edad 3-25 años</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Género</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Valores: M, F, Otro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Dirección</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 libre</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Comuna</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No</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 libre</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Curso</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Debe existir en la BD (ej: '1°A', '2°B')</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Es PIE</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Sí/No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No</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Default: No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Es Prioritario</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Sí/No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Default: No</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Apoderado RUN</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Dígito verificador válido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Apoderado Nombre</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Mínimo 2 caracteres</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Apoderado Teléfono</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8-15 dígitos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Apoderado Email</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Formato email válido si presente</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Apoderado Parentesco</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Valores: Madre, Padre, Tutor, Abuelo/a, Otro</w:t>
            </w:r>
          </w:p>
        </w:tc>
      </w:tr>
    </w:tbl>
    <w:p>
      <w:pPr>
        <w:spacing w:after="60"/>
      </w:pPr>
    </w:p>
    <w:p>
      <w:pPr>
        <w:pStyle w:val="Heading3"/>
      </w:pPr>
      <w:r>
        <w:t xml:space="preserve">8.2 Importación de cartola bancaria (Excel/CSV)</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960"/>
      </w:tblGrid>
      <w:tr>
        <w:tc>
          <w:tcPr>
            <w:tcW w:type="dxa" w:w="2200"/>
            <w:tcBorders>
              <w:top w:val="single" w:color="cccccc" w:sz="1"/>
              <w:left w:val="single" w:color="cccccc" w:sz="1"/>
              <w:bottom w:val="single" w:color="cccccc" w:sz="1"/>
              <w:right w:val="single" w:color="cccccc" w:sz="1"/>
            </w:tcBorders>
            <w:shd w:fill="854f0b" w:val="clear"/>
            <w:tcMar>
              <w:top w:type="dxa" w:w="55"/>
              <w:left w:type="dxa" w:w="90"/>
              <w:bottom w:type="dxa" w:w="55"/>
              <w:right w:type="dxa" w:w="90"/>
            </w:tcMar>
          </w:tcPr>
          <w:p>
            <w:r>
              <w:rPr>
                <w:rFonts w:ascii="Arial" w:cs="Arial" w:eastAsia="Arial" w:hAnsi="Arial"/>
                <w:b/>
                <w:bCs/>
                <w:color w:val="ffffff"/>
                <w:sz w:val="19"/>
                <w:szCs w:val="19"/>
              </w:rPr>
              <w:t xml:space="preserve">Columna</w:t>
            </w:r>
          </w:p>
        </w:tc>
        <w:tc>
          <w:tcPr>
            <w:tcW w:type="dxa" w:w="1000"/>
            <w:tcBorders>
              <w:top w:val="single" w:color="cccccc" w:sz="1"/>
              <w:left w:val="single" w:color="cccccc" w:sz="1"/>
              <w:bottom w:val="single" w:color="cccccc" w:sz="1"/>
              <w:right w:val="single" w:color="cccccc" w:sz="1"/>
            </w:tcBorders>
            <w:shd w:fill="854f0b" w:val="clear"/>
            <w:tcMar>
              <w:top w:type="dxa" w:w="55"/>
              <w:left w:type="dxa" w:w="90"/>
              <w:bottom w:type="dxa" w:w="55"/>
              <w:right w:type="dxa" w:w="90"/>
            </w:tcMar>
          </w:tcPr>
          <w:p>
            <w:r>
              <w:rPr>
                <w:rFonts w:ascii="Arial" w:cs="Arial" w:eastAsia="Arial" w:hAnsi="Arial"/>
                <w:b/>
                <w:bCs/>
                <w:color w:val="ffffff"/>
                <w:sz w:val="19"/>
                <w:szCs w:val="19"/>
              </w:rPr>
              <w:t xml:space="preserve">Tipo</w:t>
            </w:r>
          </w:p>
        </w:tc>
        <w:tc>
          <w:tcPr>
            <w:tcW w:type="dxa" w:w="1200"/>
            <w:tcBorders>
              <w:top w:val="single" w:color="cccccc" w:sz="1"/>
              <w:left w:val="single" w:color="cccccc" w:sz="1"/>
              <w:bottom w:val="single" w:color="cccccc" w:sz="1"/>
              <w:right w:val="single" w:color="cccccc" w:sz="1"/>
            </w:tcBorders>
            <w:shd w:fill="854f0b" w:val="clear"/>
            <w:tcMar>
              <w:top w:type="dxa" w:w="55"/>
              <w:left w:type="dxa" w:w="90"/>
              <w:bottom w:type="dxa" w:w="55"/>
              <w:right w:type="dxa" w:w="90"/>
            </w:tcMar>
          </w:tcPr>
          <w:p>
            <w:r>
              <w:rPr>
                <w:rFonts w:ascii="Arial" w:cs="Arial" w:eastAsia="Arial" w:hAnsi="Arial"/>
                <w:b/>
                <w:bCs/>
                <w:color w:val="ffffff"/>
                <w:sz w:val="19"/>
                <w:szCs w:val="19"/>
              </w:rPr>
              <w:t xml:space="preserve">Obligatoria</w:t>
            </w:r>
          </w:p>
        </w:tc>
        <w:tc>
          <w:tcPr>
            <w:tcW w:type="dxa" w:w="4960"/>
            <w:tcBorders>
              <w:top w:val="single" w:color="cccccc" w:sz="1"/>
              <w:left w:val="single" w:color="cccccc" w:sz="1"/>
              <w:bottom w:val="single" w:color="cccccc" w:sz="1"/>
              <w:right w:val="single" w:color="cccccc" w:sz="1"/>
            </w:tcBorders>
            <w:shd w:fill="854f0b" w:val="clear"/>
            <w:tcMar>
              <w:top w:type="dxa" w:w="55"/>
              <w:left w:type="dxa" w:w="90"/>
              <w:bottom w:type="dxa" w:w="55"/>
              <w:right w:type="dxa" w:w="90"/>
            </w:tcMar>
          </w:tcPr>
          <w:p>
            <w:r>
              <w:rPr>
                <w:rFonts w:ascii="Arial" w:cs="Arial" w:eastAsia="Arial" w:hAnsi="Arial"/>
                <w:b/>
                <w:bCs/>
                <w:color w:val="ffffff"/>
                <w:sz w:val="19"/>
                <w:szCs w:val="19"/>
              </w:rPr>
              <w:t xml:space="preserve">Validación</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Fecha</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Fecha</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DD/MM/YYYY, no futura</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Descripción</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 libre, mínimo 3 caracteres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Monto</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Número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Decimal, puede ser positivo (abono) o negativo (cargo)</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Referencia</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No</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Número de documento, transferencia, etc.</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Tipo</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Cargo / Abono (si no viene, se infiere del signo del monto)</w:t>
            </w:r>
          </w:p>
        </w:tc>
      </w:tr>
    </w:tbl>
    <w:p>
      <w:pPr>
        <w:spacing w:after="60"/>
      </w:pPr>
    </w:p>
    <w:p>
      <w:pPr>
        <w:pStyle w:val="Heading3"/>
      </w:pPr>
      <w:r>
        <w:t xml:space="preserve">8.3 Importación de notas (Excel)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960"/>
      </w:tblGrid>
      <w:tr>
        <w:tc>
          <w:tcPr>
            <w:tcW w:type="dxa" w:w="2200"/>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19"/>
                <w:szCs w:val="19"/>
              </w:rPr>
              <w:t xml:space="preserve">Columna</w:t>
            </w:r>
          </w:p>
        </w:tc>
        <w:tc>
          <w:tcPr>
            <w:tcW w:type="dxa" w:w="1000"/>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19"/>
                <w:szCs w:val="19"/>
              </w:rPr>
              <w:t xml:space="preserve">Tipo</w:t>
            </w:r>
          </w:p>
        </w:tc>
        <w:tc>
          <w:tcPr>
            <w:tcW w:type="dxa" w:w="1200"/>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19"/>
                <w:szCs w:val="19"/>
              </w:rPr>
              <w:t xml:space="preserve">Obligatoria</w:t>
            </w:r>
          </w:p>
        </w:tc>
        <w:tc>
          <w:tcPr>
            <w:tcW w:type="dxa" w:w="4960"/>
            <w:tcBorders>
              <w:top w:val="single" w:color="cccccc" w:sz="1"/>
              <w:left w:val="single" w:color="cccccc" w:sz="1"/>
              <w:bottom w:val="single" w:color="cccccc" w:sz="1"/>
              <w:right w:val="single" w:color="cccccc" w:sz="1"/>
            </w:tcBorders>
            <w:shd w:fill="534ab7" w:val="clear"/>
            <w:tcMar>
              <w:top w:type="dxa" w:w="55"/>
              <w:left w:type="dxa" w:w="90"/>
              <w:bottom w:type="dxa" w:w="55"/>
              <w:right w:type="dxa" w:w="90"/>
            </w:tcMar>
          </w:tcPr>
          <w:p>
            <w:r>
              <w:rPr>
                <w:rFonts w:ascii="Arial" w:cs="Arial" w:eastAsia="Arial" w:hAnsi="Arial"/>
                <w:b/>
                <w:bCs/>
                <w:color w:val="ffffff"/>
                <w:sz w:val="19"/>
                <w:szCs w:val="19"/>
              </w:rPr>
              <w:t xml:space="preserve">Validación</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RUN Alumno</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Debe existir en la BD y estar matriculado</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Asignatura</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Debe existir en la BD</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Nombre Evaluación</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Mínimo 3 caracteres</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Tipo</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Valores: Sumativa, Formativa, Taller, Examen</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Ponderación</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Número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0.01 a 1.0, decimal</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Nota</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Número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1.0 a 7.0, máximo 1 decimal</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Fecha</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Fecha</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DD/MM/YYYY, no futura</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Semestre</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Número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1 o 2</w:t>
            </w:r>
          </w:p>
        </w:tc>
      </w:tr>
    </w:tbl>
    <w:p>
      <w:pPr>
        <w:spacing w:after="60"/>
      </w:pPr>
    </w:p>
    <w:p>
      <w:pPr>
        <w:pStyle w:val="Heading3"/>
      </w:pPr>
      <w:r>
        <w:t xml:space="preserve">8.4 Importación de inventario (Excel)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960"/>
      </w:tblGrid>
      <w:tr>
        <w:tc>
          <w:tcPr>
            <w:tcW w:type="dxa" w:w="2200"/>
            <w:tcBorders>
              <w:top w:val="single" w:color="cccccc" w:sz="1"/>
              <w:left w:val="single" w:color="cccccc" w:sz="1"/>
              <w:bottom w:val="single" w:color="cccccc" w:sz="1"/>
              <w:right w:val="single" w:color="cccccc" w:sz="1"/>
            </w:tcBorders>
            <w:shd w:fill="993c1d" w:val="clear"/>
            <w:tcMar>
              <w:top w:type="dxa" w:w="55"/>
              <w:left w:type="dxa" w:w="90"/>
              <w:bottom w:type="dxa" w:w="55"/>
              <w:right w:type="dxa" w:w="90"/>
            </w:tcMar>
          </w:tcPr>
          <w:p>
            <w:r>
              <w:rPr>
                <w:rFonts w:ascii="Arial" w:cs="Arial" w:eastAsia="Arial" w:hAnsi="Arial"/>
                <w:b/>
                <w:bCs/>
                <w:color w:val="ffffff"/>
                <w:sz w:val="19"/>
                <w:szCs w:val="19"/>
              </w:rPr>
              <w:t xml:space="preserve">Columna</w:t>
            </w:r>
          </w:p>
        </w:tc>
        <w:tc>
          <w:tcPr>
            <w:tcW w:type="dxa" w:w="1000"/>
            <w:tcBorders>
              <w:top w:val="single" w:color="cccccc" w:sz="1"/>
              <w:left w:val="single" w:color="cccccc" w:sz="1"/>
              <w:bottom w:val="single" w:color="cccccc" w:sz="1"/>
              <w:right w:val="single" w:color="cccccc" w:sz="1"/>
            </w:tcBorders>
            <w:shd w:fill="993c1d" w:val="clear"/>
            <w:tcMar>
              <w:top w:type="dxa" w:w="55"/>
              <w:left w:type="dxa" w:w="90"/>
              <w:bottom w:type="dxa" w:w="55"/>
              <w:right w:type="dxa" w:w="90"/>
            </w:tcMar>
          </w:tcPr>
          <w:p>
            <w:r>
              <w:rPr>
                <w:rFonts w:ascii="Arial" w:cs="Arial" w:eastAsia="Arial" w:hAnsi="Arial"/>
                <w:b/>
                <w:bCs/>
                <w:color w:val="ffffff"/>
                <w:sz w:val="19"/>
                <w:szCs w:val="19"/>
              </w:rPr>
              <w:t xml:space="preserve">Tipo</w:t>
            </w:r>
          </w:p>
        </w:tc>
        <w:tc>
          <w:tcPr>
            <w:tcW w:type="dxa" w:w="1200"/>
            <w:tcBorders>
              <w:top w:val="single" w:color="cccccc" w:sz="1"/>
              <w:left w:val="single" w:color="cccccc" w:sz="1"/>
              <w:bottom w:val="single" w:color="cccccc" w:sz="1"/>
              <w:right w:val="single" w:color="cccccc" w:sz="1"/>
            </w:tcBorders>
            <w:shd w:fill="993c1d" w:val="clear"/>
            <w:tcMar>
              <w:top w:type="dxa" w:w="55"/>
              <w:left w:type="dxa" w:w="90"/>
              <w:bottom w:type="dxa" w:w="55"/>
              <w:right w:type="dxa" w:w="90"/>
            </w:tcMar>
          </w:tcPr>
          <w:p>
            <w:r>
              <w:rPr>
                <w:rFonts w:ascii="Arial" w:cs="Arial" w:eastAsia="Arial" w:hAnsi="Arial"/>
                <w:b/>
                <w:bCs/>
                <w:color w:val="ffffff"/>
                <w:sz w:val="19"/>
                <w:szCs w:val="19"/>
              </w:rPr>
              <w:t xml:space="preserve">Obligatoria</w:t>
            </w:r>
          </w:p>
        </w:tc>
        <w:tc>
          <w:tcPr>
            <w:tcW w:type="dxa" w:w="4960"/>
            <w:tcBorders>
              <w:top w:val="single" w:color="cccccc" w:sz="1"/>
              <w:left w:val="single" w:color="cccccc" w:sz="1"/>
              <w:bottom w:val="single" w:color="cccccc" w:sz="1"/>
              <w:right w:val="single" w:color="cccccc" w:sz="1"/>
            </w:tcBorders>
            <w:shd w:fill="993c1d" w:val="clear"/>
            <w:tcMar>
              <w:top w:type="dxa" w:w="55"/>
              <w:left w:type="dxa" w:w="90"/>
              <w:bottom w:type="dxa" w:w="55"/>
              <w:right w:type="dxa" w:w="90"/>
            </w:tcMar>
          </w:tcPr>
          <w:p>
            <w:r>
              <w:rPr>
                <w:rFonts w:ascii="Arial" w:cs="Arial" w:eastAsia="Arial" w:hAnsi="Arial"/>
                <w:b/>
                <w:bCs/>
                <w:color w:val="ffffff"/>
                <w:sz w:val="19"/>
                <w:szCs w:val="19"/>
              </w:rPr>
              <w:t xml:space="preserve">Validación</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Nombre</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Mínimo 3 caracteres</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Descripción</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No</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 libre</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Categoría</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Valores: Tecnológico, Fungible, Mobiliario, Activo Fijo</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Marca</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No</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 libre</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Modelo</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 libre</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Sala</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Debe existir en la BD</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Responsable RUN</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Debe existir como funcionario en la BD</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Estado</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Valores: Bueno, Regular, Malo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Valor</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Número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Decimal &gt; 0</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Fecha Adquisición</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Fecha</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Sí</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DD/MM/YYYY, no futura</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Fondo</w:t>
            </w:r>
          </w:p>
        </w:tc>
        <w:tc>
          <w:tcPr>
            <w:tcW w:type="dxa" w:w="1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Valores: SEP, PIE, Subv. General, Pro-Retención, Otro</w:t>
            </w:r>
          </w:p>
        </w:tc>
      </w:tr>
      <w:tr>
        <w:tc>
          <w:tcPr>
            <w:tcW w:type="dxa" w:w="2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 Factura</w:t>
            </w:r>
          </w:p>
        </w:tc>
        <w:tc>
          <w:tcPr>
            <w:tcW w:type="dxa" w:w="1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w:t>
            </w:r>
          </w:p>
        </w:tc>
        <w:tc>
          <w:tcPr>
            <w:tcW w:type="dxa" w:w="12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No</w:t>
            </w:r>
          </w:p>
        </w:tc>
        <w:tc>
          <w:tcPr>
            <w:tcW w:type="dxa" w:w="49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Texto libre</w:t>
            </w:r>
          </w:p>
        </w:tc>
      </w:tr>
    </w:tbl>
    <w:p>
      <w:r>
        <w:br w:type="page"/>
      </w:r>
    </w:p>
    <w:p>
      <w:pPr>
        <w:pStyle w:val="Heading2"/>
      </w:pPr>
      <w:r>
        <w:t xml:space="preserve">9. Integraciones API externas</w:t>
      </w:r>
    </w:p>
    <w:p>
      <w:pPr>
        <w:spacing w:after="60"/>
      </w:pPr>
    </w:p>
    <w:p>
      <w:pPr>
        <w:pStyle w:val="Heading3"/>
      </w:pPr>
      <w:r>
        <w:t xml:space="preserve">9.1 SII — Servicio de Impuestos Internos</w:t>
      </w:r>
    </w:p>
    <w:p>
      <w:pPr>
        <w:spacing w:after="100"/>
      </w:pPr>
      <w:r>
        <w:t xml:space="preserve">Se recomienda usar una API intermediaria para evitar el proceso de certificación directa. Opciones: BaseAPI, SimpleAPI (ChileSystems), Lioren.</w:t>
      </w:r>
    </w:p>
    <w:p>
      <w:pPr>
        <w:spacing w:after="60"/>
      </w:pPr>
    </w:p>
    <w:p>
      <w:pPr>
        <w:pStyle w:val="ListParagraph"/>
        <w:numPr>
          <w:ilvl w:val="0"/>
          <w:numId w:val="2"/>
        </w:numPr>
        <w:spacing w:after="50"/>
      </w:pPr>
      <w:r>
        <w:rPr>
          <w:b/>
          <w:bCs/>
          <w:sz w:val="21"/>
          <w:szCs w:val="21"/>
        </w:rPr>
        <w:t xml:space="preserve">Emitir boleta electrónica: </w:t>
      </w:r>
      <w:r>
        <w:rPr>
          <w:sz w:val="21"/>
          <w:szCs w:val="21"/>
        </w:rPr>
        <w:t xml:space="preserve">POST al intermediario con datos del documento. Recibe folio y PDF. Se dispara con evento PAGO_REGISTRADO.</w:t>
      </w:r>
    </w:p>
    <w:p>
      <w:pPr>
        <w:pStyle w:val="ListParagraph"/>
        <w:numPr>
          <w:ilvl w:val="0"/>
          <w:numId w:val="2"/>
        </w:numPr>
        <w:spacing w:after="50"/>
      </w:pPr>
      <w:r>
        <w:rPr>
          <w:b/>
          <w:bCs/>
          <w:sz w:val="21"/>
          <w:szCs w:val="21"/>
        </w:rPr>
        <w:t xml:space="preserve">Importar libro de compras: </w:t>
      </w:r>
      <w:r>
        <w:rPr>
          <w:sz w:val="21"/>
          <w:szCs w:val="21"/>
        </w:rPr>
        <w:t xml:space="preserve">GET mensual del libro de compras. Alimenta módulo Finanzas para conciliación y rendición.</w:t>
      </w:r>
    </w:p>
    <w:p>
      <w:pPr>
        <w:pStyle w:val="ListParagraph"/>
        <w:numPr>
          <w:ilvl w:val="0"/>
          <w:numId w:val="2"/>
        </w:numPr>
        <w:spacing w:after="50"/>
      </w:pPr>
      <w:r>
        <w:rPr>
          <w:b/>
          <w:bCs/>
          <w:sz w:val="21"/>
          <w:szCs w:val="21"/>
        </w:rPr>
        <w:t xml:space="preserve">Importar libro de honorarios: </w:t>
      </w:r>
      <w:r>
        <w:rPr>
          <w:sz w:val="21"/>
          <w:szCs w:val="21"/>
        </w:rPr>
        <w:t xml:space="preserve">GET mensual. Para rendición de honorarios pagados.</w:t>
      </w:r>
    </w:p>
    <w:p>
      <w:pPr>
        <w:pStyle w:val="ListParagraph"/>
        <w:numPr>
          <w:ilvl w:val="0"/>
          <w:numId w:val="2"/>
        </w:numPr>
        <w:spacing w:after="50"/>
      </w:pPr>
      <w:r>
        <w:rPr>
          <w:b/>
          <w:bCs/>
          <w:sz w:val="21"/>
          <w:szCs w:val="21"/>
        </w:rPr>
        <w:t xml:space="preserve">Declaraciones Juradas: </w:t>
      </w:r>
      <w:r>
        <w:rPr>
          <w:sz w:val="21"/>
          <w:szCs w:val="21"/>
        </w:rPr>
        <w:t xml:space="preserve">Generación del archivo y envío vía API.</w:t>
      </w:r>
    </w:p>
    <w:p>
      <w:pPr>
        <w:spacing w:after="60"/>
      </w:pPr>
    </w:p>
    <w:p>
      <w:pPr>
        <w:pStyle w:val="Heading3"/>
      </w:pPr>
      <w:r>
        <w:t xml:space="preserve">9.2 SIGE — Mineduc</w:t>
      </w:r>
    </w:p>
    <w:p>
      <w:pPr>
        <w:spacing w:after="100"/>
      </w:pPr>
      <w:r>
        <w:t xml:space="preserve">El SIGE no tiene API pública. La interoperabilidad es vía archivos con formato específico que el colegio sube manualmente a la plataforma SIGE.</w:t>
      </w:r>
    </w:p>
    <w:p>
      <w:pPr>
        <w:spacing w:after="60"/>
      </w:pPr>
    </w:p>
    <w:p>
      <w:pPr>
        <w:pStyle w:val="ListParagraph"/>
        <w:numPr>
          <w:ilvl w:val="0"/>
          <w:numId w:val="2"/>
        </w:numPr>
        <w:spacing w:after="50"/>
      </w:pPr>
      <w:r>
        <w:rPr>
          <w:b/>
          <w:bCs/>
          <w:sz w:val="21"/>
          <w:szCs w:val="21"/>
        </w:rPr>
        <w:t xml:space="preserve">Matrícula inicial: </w:t>
      </w:r>
      <w:r>
        <w:rPr>
          <w:sz w:val="21"/>
          <w:szCs w:val="21"/>
        </w:rPr>
        <w:t xml:space="preserve">Exportar CSV/TXT con nómina de alumnos en formato SIGE. El colegio sube el archivo a sige.mineduc.cl.</w:t>
      </w:r>
    </w:p>
    <w:p>
      <w:pPr>
        <w:pStyle w:val="ListParagraph"/>
        <w:numPr>
          <w:ilvl w:val="0"/>
          <w:numId w:val="2"/>
        </w:numPr>
        <w:spacing w:after="50"/>
      </w:pPr>
      <w:r>
        <w:rPr>
          <w:b/>
          <w:bCs/>
          <w:sz w:val="21"/>
          <w:szCs w:val="21"/>
        </w:rPr>
        <w:t xml:space="preserve">Declaración de asistencia: </w:t>
      </w:r>
      <w:r>
        <w:rPr>
          <w:sz w:val="21"/>
          <w:szCs w:val="21"/>
        </w:rPr>
        <w:t xml:space="preserve">Exportar archivo mensual con asistencia por alumno.</w:t>
      </w:r>
    </w:p>
    <w:p>
      <w:pPr>
        <w:pStyle w:val="ListParagraph"/>
        <w:numPr>
          <w:ilvl w:val="0"/>
          <w:numId w:val="2"/>
        </w:numPr>
        <w:spacing w:after="50"/>
      </w:pPr>
      <w:r>
        <w:rPr>
          <w:b/>
          <w:bCs/>
          <w:sz w:val="21"/>
          <w:szCs w:val="21"/>
        </w:rPr>
        <w:t xml:space="preserve">Actas de rendimiento: </w:t>
      </w:r>
      <w:r>
        <w:rPr>
          <w:sz w:val="21"/>
          <w:szCs w:val="21"/>
        </w:rPr>
        <w:t xml:space="preserve">Exportar notas finales por alumno y asignatura al cierre del año.</w:t>
      </w:r>
    </w:p>
    <w:p>
      <w:pPr>
        <w:pStyle w:val="ListParagraph"/>
        <w:numPr>
          <w:ilvl w:val="0"/>
          <w:numId w:val="2"/>
        </w:numPr>
        <w:spacing w:after="50"/>
      </w:pPr>
      <w:r>
        <w:rPr>
          <w:b/>
          <w:bCs/>
          <w:sz w:val="21"/>
          <w:szCs w:val="21"/>
        </w:rPr>
        <w:t xml:space="preserve">Idoneidad docente: </w:t>
      </w:r>
      <w:r>
        <w:rPr>
          <w:sz w:val="21"/>
          <w:szCs w:val="21"/>
        </w:rPr>
        <w:t xml:space="preserve">Exportar lista de docentes con asignaturas habilitadas.</w:t>
      </w:r>
    </w:p>
    <w:p>
      <w:pPr>
        <w:spacing w:after="100"/>
      </w:pPr>
      <w:r>
        <w:t xml:space="preserve">El ERP genera los archivos; el usuario los descarga y los sube al SIGE manualmente. Automatizar la subida requiere scraping del SIGE, lo cual NO se recomienda por fragilidad y posibles problemas legales.</w:t>
      </w:r>
    </w:p>
    <w:p>
      <w:pPr>
        <w:spacing w:after="60"/>
      </w:pPr>
    </w:p>
    <w:p>
      <w:pPr>
        <w:pStyle w:val="Heading3"/>
      </w:pPr>
      <w:r>
        <w:t xml:space="preserve">9.3 Pasarelas de pago</w:t>
      </w:r>
    </w:p>
    <w:p>
      <w:pPr>
        <w:spacing w:after="100"/>
      </w:pPr>
      <w:r>
        <w:t xml:space="preserve">Para cobro de aranceles online. El flujo estándar:</w:t>
      </w:r>
    </w:p>
    <w:p>
      <w:pPr>
        <w:spacing w:after="60"/>
      </w:pPr>
    </w:p>
    <w:p>
      <w:pPr>
        <w:pStyle w:val="ListParagraph"/>
        <w:numPr>
          <w:ilvl w:val="0"/>
          <w:numId w:val="3"/>
        </w:numPr>
        <w:spacing w:after="50"/>
      </w:pPr>
      <w:r>
        <w:rPr>
          <w:sz w:val="21"/>
          <w:szCs w:val="21"/>
        </w:rPr>
        <w:t xml:space="preserve">Apoderado ve estado de cuenta en portal y presiona “Pagar”</w:t>
      </w:r>
    </w:p>
    <w:p>
      <w:pPr>
        <w:pStyle w:val="ListParagraph"/>
        <w:numPr>
          <w:ilvl w:val="0"/>
          <w:numId w:val="3"/>
        </w:numPr>
        <w:spacing w:after="50"/>
      </w:pPr>
      <w:r>
        <w:rPr>
          <w:sz w:val="21"/>
          <w:szCs w:val="21"/>
        </w:rPr>
        <w:t xml:space="preserve">ERP crea una transacción en la pasarela (Webpay/Khipu/Flow) con monto y referencia</w:t>
      </w:r>
    </w:p>
    <w:p>
      <w:pPr>
        <w:pStyle w:val="ListParagraph"/>
        <w:numPr>
          <w:ilvl w:val="0"/>
          <w:numId w:val="3"/>
        </w:numPr>
        <w:spacing w:after="50"/>
      </w:pPr>
      <w:r>
        <w:rPr>
          <w:sz w:val="21"/>
          <w:szCs w:val="21"/>
        </w:rPr>
        <w:t xml:space="preserve">Apoderado es redirigido a la pasarela para completar el pago</w:t>
      </w:r>
    </w:p>
    <w:p>
      <w:pPr>
        <w:pStyle w:val="ListParagraph"/>
        <w:numPr>
          <w:ilvl w:val="0"/>
          <w:numId w:val="3"/>
        </w:numPr>
        <w:spacing w:after="50"/>
      </w:pPr>
      <w:r>
        <w:rPr>
          <w:sz w:val="21"/>
          <w:szCs w:val="21"/>
        </w:rPr>
        <w:t xml:space="preserve">Pasarela confirma vía webhook al ERP (POST /api/v1/webhooks/pago)</w:t>
      </w:r>
    </w:p>
    <w:p>
      <w:pPr>
        <w:pStyle w:val="ListParagraph"/>
        <w:numPr>
          <w:ilvl w:val="0"/>
          <w:numId w:val="3"/>
        </w:numPr>
        <w:spacing w:after="50"/>
      </w:pPr>
      <w:r>
        <w:rPr>
          <w:sz w:val="21"/>
          <w:szCs w:val="21"/>
        </w:rPr>
        <w:t xml:space="preserve">ERP valida la firma del webhook, registra el pago, emite evento PAGO_REGISTRADO</w:t>
      </w:r>
    </w:p>
    <w:p>
      <w:pPr>
        <w:pStyle w:val="ListParagraph"/>
        <w:numPr>
          <w:ilvl w:val="0"/>
          <w:numId w:val="3"/>
        </w:numPr>
        <w:spacing w:after="50"/>
      </w:pPr>
      <w:r>
        <w:rPr>
          <w:sz w:val="21"/>
          <w:szCs w:val="21"/>
        </w:rPr>
        <w:t xml:space="preserve">Los módulos consumidores reaccionan: boleta, asiento contable, comprobante al apoderado</w:t>
      </w:r>
    </w:p>
    <w:p>
      <w:pPr>
        <w:spacing w:after="60"/>
      </w:pPr>
    </w:p>
    <w:p>
      <w:pPr>
        <w:pStyle w:val="Heading3"/>
      </w:pPr>
      <w:r>
        <w:t xml:space="preserve">9.4 Google Drive (opcional)</w:t>
      </w:r>
    </w:p>
    <w:p>
      <w:pPr>
        <w:spacing w:after="100"/>
      </w:pPr>
      <w:r>
        <w:t xml:space="preserve">Para colegios que ya tienen información organizada en Google Drive:</w:t>
      </w:r>
    </w:p>
    <w:p>
      <w:pPr>
        <w:spacing w:after="60"/>
      </w:pPr>
    </w:p>
    <w:p>
      <w:pPr>
        <w:pStyle w:val="ListParagraph"/>
        <w:numPr>
          <w:ilvl w:val="0"/>
          <w:numId w:val="2"/>
        </w:numPr>
        <w:spacing w:after="50"/>
      </w:pPr>
      <w:r>
        <w:rPr>
          <w:sz w:val="21"/>
          <w:szCs w:val="21"/>
        </w:rPr>
        <w:t xml:space="preserve">El administrador configura una carpeta de Drive por área (Finanzas, Académico, RRHH)</w:t>
      </w:r>
    </w:p>
    <w:p>
      <w:pPr>
        <w:pStyle w:val="ListParagraph"/>
        <w:numPr>
          <w:ilvl w:val="0"/>
          <w:numId w:val="2"/>
        </w:numPr>
        <w:spacing w:after="50"/>
      </w:pPr>
      <w:r>
        <w:rPr>
          <w:sz w:val="21"/>
          <w:szCs w:val="21"/>
        </w:rPr>
        <w:t xml:space="preserve">El ERP se conecta vía Google Drive API (OAuth2)</w:t>
      </w:r>
    </w:p>
    <w:p>
      <w:pPr>
        <w:pStyle w:val="ListParagraph"/>
        <w:numPr>
          <w:ilvl w:val="0"/>
          <w:numId w:val="2"/>
        </w:numPr>
        <w:spacing w:after="50"/>
      </w:pPr>
      <w:r>
        <w:rPr>
          <w:sz w:val="21"/>
          <w:szCs w:val="21"/>
        </w:rPr>
        <w:t xml:space="preserve">Cada carpeta tiene templates predefinidos (Excel con columnas esperadas)</w:t>
      </w:r>
    </w:p>
    <w:p>
      <w:pPr>
        <w:pStyle w:val="ListParagraph"/>
        <w:numPr>
          <w:ilvl w:val="0"/>
          <w:numId w:val="2"/>
        </w:numPr>
        <w:spacing w:after="50"/>
      </w:pPr>
      <w:r>
        <w:rPr>
          <w:sz w:val="21"/>
          <w:szCs w:val="21"/>
        </w:rPr>
        <w:t xml:space="preserve">El ERP monitorea nuevos archivos y los procesa automáticamente</w:t>
      </w:r>
    </w:p>
    <w:p>
      <w:pPr>
        <w:pStyle w:val="ListParagraph"/>
        <w:numPr>
          <w:ilvl w:val="0"/>
          <w:numId w:val="2"/>
        </w:numPr>
        <w:spacing w:after="50"/>
      </w:pPr>
      <w:r>
        <w:rPr>
          <w:sz w:val="21"/>
          <w:szCs w:val="21"/>
        </w:rPr>
        <w:t xml:space="preserve">Si el archivo no cumple el formato, notifica al usuario con los errores</w:t>
      </w:r>
    </w:p>
    <w:p>
      <w:pPr>
        <w:spacing w:after="100"/>
      </w:pPr>
      <w:r>
        <w:t xml:space="preserve">Esto es un diferenciador pero NO es crítico para el MVP. Implementar en Fase 5.</w:t>
      </w:r>
    </w:p>
    <w:p>
      <w:pPr>
        <w:spacing w:after="60"/>
      </w:pPr>
    </w:p>
    <w:p>
      <w:pPr>
        <w:pStyle w:val="Heading3"/>
      </w:pPr>
      <w:r>
        <w:t xml:space="preserve">9.5 SuperEduc</w:t>
      </w:r>
    </w:p>
    <w:p>
      <w:pPr>
        <w:spacing w:after="100"/>
      </w:pPr>
      <w:r>
        <w:t xml:space="preserve">La rendición a la Superintendencia se hace vía la plataforma web de SuperEduc. El ERP genera el archivo en el formato requerido (Excel con estructura específica por tipo de subvención). El usuario descarga el archivo y lo sube a la plataforma SuperEduc manualmente.</w:t>
      </w:r>
    </w:p>
    <w:p>
      <w:pPr>
        <w:spacing w:after="60"/>
      </w:pPr>
    </w:p>
    <w:p>
      <w:pPr>
        <w:spacing w:after="100"/>
      </w:pPr>
      <w:r>
        <w:t xml:space="preserve">Categorías de gasto permitidas por fondo (el sistema debe validar):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460"/>
      </w:tblGrid>
      <w:tr>
        <w:tc>
          <w:tcPr>
            <w:tcW w:type="dxa" w:w="1400"/>
            <w:tcBorders>
              <w:top w:val="single" w:color="cccccc" w:sz="1"/>
              <w:left w:val="single" w:color="cccccc" w:sz="1"/>
              <w:bottom w:val="single" w:color="cccccc" w:sz="1"/>
              <w:right w:val="single" w:color="cccccc" w:sz="1"/>
            </w:tcBorders>
            <w:shd w:fill="993c1d" w:val="clear"/>
            <w:tcMar>
              <w:top w:type="dxa" w:w="55"/>
              <w:left w:type="dxa" w:w="90"/>
              <w:bottom w:type="dxa" w:w="55"/>
              <w:right w:type="dxa" w:w="90"/>
            </w:tcMar>
          </w:tcPr>
          <w:p>
            <w:r>
              <w:rPr>
                <w:rFonts w:ascii="Arial" w:cs="Arial" w:eastAsia="Arial" w:hAnsi="Arial"/>
                <w:b/>
                <w:bCs/>
                <w:color w:val="ffffff"/>
                <w:sz w:val="19"/>
                <w:szCs w:val="19"/>
              </w:rPr>
              <w:t xml:space="preserve">Fondo</w:t>
            </w:r>
          </w:p>
        </w:tc>
        <w:tc>
          <w:tcPr>
            <w:tcW w:type="dxa" w:w="4500"/>
            <w:tcBorders>
              <w:top w:val="single" w:color="cccccc" w:sz="1"/>
              <w:left w:val="single" w:color="cccccc" w:sz="1"/>
              <w:bottom w:val="single" w:color="cccccc" w:sz="1"/>
              <w:right w:val="single" w:color="cccccc" w:sz="1"/>
            </w:tcBorders>
            <w:shd w:fill="993c1d" w:val="clear"/>
            <w:tcMar>
              <w:top w:type="dxa" w:w="55"/>
              <w:left w:type="dxa" w:w="90"/>
              <w:bottom w:type="dxa" w:w="55"/>
              <w:right w:type="dxa" w:w="90"/>
            </w:tcMar>
          </w:tcPr>
          <w:p>
            <w:r>
              <w:rPr>
                <w:rFonts w:ascii="Arial" w:cs="Arial" w:eastAsia="Arial" w:hAnsi="Arial"/>
                <w:b/>
                <w:bCs/>
                <w:color w:val="ffffff"/>
                <w:sz w:val="19"/>
                <w:szCs w:val="19"/>
              </w:rPr>
              <w:t xml:space="preserve">Categorías de gasto permitidas</w:t>
            </w:r>
          </w:p>
        </w:tc>
        <w:tc>
          <w:tcPr>
            <w:tcW w:type="dxa" w:w="3460"/>
            <w:tcBorders>
              <w:top w:val="single" w:color="cccccc" w:sz="1"/>
              <w:left w:val="single" w:color="cccccc" w:sz="1"/>
              <w:bottom w:val="single" w:color="cccccc" w:sz="1"/>
              <w:right w:val="single" w:color="cccccc" w:sz="1"/>
            </w:tcBorders>
            <w:shd w:fill="993c1d" w:val="clear"/>
            <w:tcMar>
              <w:top w:type="dxa" w:w="55"/>
              <w:left w:type="dxa" w:w="90"/>
              <w:bottom w:type="dxa" w:w="55"/>
              <w:right w:type="dxa" w:w="90"/>
            </w:tcMar>
          </w:tcPr>
          <w:p>
            <w:r>
              <w:rPr>
                <w:rFonts w:ascii="Arial" w:cs="Arial" w:eastAsia="Arial" w:hAnsi="Arial"/>
                <w:b/>
                <w:bCs/>
                <w:color w:val="ffffff"/>
                <w:sz w:val="19"/>
                <w:szCs w:val="19"/>
              </w:rPr>
              <w:t xml:space="preserve">NO permitido</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SEP</w:t>
            </w:r>
          </w:p>
        </w:tc>
        <w:tc>
          <w:tcPr>
            <w:tcW w:type="dxa" w:w="4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Recursos de aprendizaje, Remuneraciones personal SEP, Capacitación, Equipamiento pedagógico, Asesoría técnica</w:t>
            </w:r>
          </w:p>
        </w:tc>
        <w:tc>
          <w:tcPr>
            <w:tcW w:type="dxa" w:w="34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Gastos de mantención general, Remuneraciones regulares, Gastos no vinculados al PME</w:t>
            </w:r>
          </w:p>
        </w:tc>
      </w:tr>
      <w:tr>
        <w:tc>
          <w:tcPr>
            <w:tcW w:type="dxa" w:w="14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PIE</w:t>
            </w:r>
          </w:p>
        </w:tc>
        <w:tc>
          <w:tcPr>
            <w:tcW w:type="dxa" w:w="45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Profesionales de apoyo, Materiales especializados, Capacitación docentes PIE, Recursos didácticos especializados</w:t>
            </w:r>
          </w:p>
        </w:tc>
        <w:tc>
          <w:tcPr>
            <w:tcW w:type="dxa" w:w="34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Remuneraciones de personal no PIE, Gastos generales, Equipamiento no especializado</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Subvención General</w:t>
            </w:r>
          </w:p>
        </w:tc>
        <w:tc>
          <w:tcPr>
            <w:tcW w:type="dxa" w:w="4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Remuneraciones personal, Gastos operacionales, Mantención básica, Servicios básicos</w:t>
            </w:r>
          </w:p>
        </w:tc>
        <w:tc>
          <w:tcPr>
            <w:tcW w:type="dxa" w:w="34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Gastos suntuarios, Inversiones no educativas</w:t>
            </w:r>
          </w:p>
        </w:tc>
      </w:tr>
      <w:tr>
        <w:tc>
          <w:tcPr>
            <w:tcW w:type="dxa" w:w="14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Pro-Retención</w:t>
            </w:r>
          </w:p>
        </w:tc>
        <w:tc>
          <w:tcPr>
            <w:tcW w:type="dxa" w:w="45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Becas, Transporte escolar, Alimentación, Apoyo a familias vulnerables</w:t>
            </w:r>
          </w:p>
        </w:tc>
        <w:tc>
          <w:tcPr>
            <w:tcW w:type="dxa" w:w="34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Remuneraciones, Equipamiento, Gastos generales</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Mantención</w:t>
            </w:r>
          </w:p>
        </w:tc>
        <w:tc>
          <w:tcPr>
            <w:tcW w:type="dxa" w:w="4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Reparaciones, Infraestructura, Servicios de mantención</w:t>
            </w:r>
          </w:p>
        </w:tc>
        <w:tc>
          <w:tcPr>
            <w:tcW w:type="dxa" w:w="34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Remuneraciones, Material pedagógico, Capacitación</w:t>
            </w:r>
          </w:p>
        </w:tc>
      </w:tr>
    </w:tbl>
    <w:p>
      <w:r>
        <w:br w:type="page"/>
      </w:r>
    </w:p>
    <w:p>
      <w:pPr>
        <w:pStyle w:val="Heading2"/>
      </w:pPr>
      <w:r>
        <w:t xml:space="preserve">10. Flujo de carga inicial (cuando un colegio nuevo contrata el ERP)</w:t>
      </w:r>
    </w:p>
    <w:p>
      <w:pPr>
        <w:spacing w:after="100"/>
      </w:pPr>
      <w:r>
        <w:t xml:space="preserve">Cuando un colegio nuevo se suscribe al ERP, se necesita cargar toda la información existente. Este es el proceso recomendado:</w:t>
      </w:r>
    </w:p>
    <w:p>
      <w:pPr>
        <w:spacing w:after="60"/>
      </w:pPr>
    </w:p>
    <w:p>
      <w:pPr>
        <w:pStyle w:val="Heading3"/>
      </w:pPr>
      <w:r>
        <w:t xml:space="preserve">Semana 1: Configuración básica</w:t>
      </w:r>
    </w:p>
    <w:p>
      <w:pPr>
        <w:pStyle w:val="ListParagraph"/>
        <w:numPr>
          <w:ilvl w:val="0"/>
          <w:numId w:val="3"/>
        </w:numPr>
        <w:spacing w:after="50"/>
      </w:pPr>
      <w:r>
        <w:rPr>
          <w:sz w:val="21"/>
          <w:szCs w:val="21"/>
        </w:rPr>
        <w:t xml:space="preserve">Crear tenant en BD Master con los datos del colegio</w:t>
      </w:r>
    </w:p>
    <w:p>
      <w:pPr>
        <w:pStyle w:val="ListParagraph"/>
        <w:numPr>
          <w:ilvl w:val="0"/>
          <w:numId w:val="3"/>
        </w:numPr>
        <w:spacing w:after="50"/>
      </w:pPr>
      <w:r>
        <w:rPr>
          <w:sz w:val="21"/>
          <w:szCs w:val="21"/>
        </w:rPr>
        <w:t xml:space="preserve">Configurar Establecimiento: nombre, RBD, tipo, logo, año escolar, período evaluación</w:t>
      </w:r>
    </w:p>
    <w:p>
      <w:pPr>
        <w:pStyle w:val="ListParagraph"/>
        <w:numPr>
          <w:ilvl w:val="0"/>
          <w:numId w:val="3"/>
        </w:numPr>
        <w:spacing w:after="50"/>
      </w:pPr>
      <w:r>
        <w:rPr>
          <w:sz w:val="21"/>
          <w:szCs w:val="21"/>
        </w:rPr>
        <w:t xml:space="preserve">Crear salas y espacios del establecimiento</w:t>
      </w:r>
    </w:p>
    <w:p>
      <w:pPr>
        <w:pStyle w:val="ListParagraph"/>
        <w:numPr>
          <w:ilvl w:val="0"/>
          <w:numId w:val="3"/>
        </w:numPr>
        <w:spacing w:after="50"/>
      </w:pPr>
      <w:r>
        <w:rPr>
          <w:sz w:val="21"/>
          <w:szCs w:val="21"/>
        </w:rPr>
        <w:t xml:space="preserve">Crear cursos del año en curso (nombre, nivel, letra, capacidad)</w:t>
      </w:r>
    </w:p>
    <w:p>
      <w:pPr>
        <w:pStyle w:val="ListParagraph"/>
        <w:numPr>
          <w:ilvl w:val="0"/>
          <w:numId w:val="3"/>
        </w:numPr>
        <w:spacing w:after="50"/>
      </w:pPr>
      <w:r>
        <w:rPr>
          <w:sz w:val="21"/>
          <w:szCs w:val="21"/>
        </w:rPr>
        <w:t xml:space="preserve">Crear asignaturas y plan de estudios</w:t>
      </w:r>
    </w:p>
    <w:p>
      <w:pPr>
        <w:pStyle w:val="ListParagraph"/>
        <w:numPr>
          <w:ilvl w:val="0"/>
          <w:numId w:val="3"/>
        </w:numPr>
        <w:spacing w:after="50"/>
      </w:pPr>
      <w:r>
        <w:rPr>
          <w:sz w:val="21"/>
          <w:szCs w:val="21"/>
        </w:rPr>
        <w:t xml:space="preserve">Crear usuarios del equipo directivo y administrativo</w:t>
      </w:r>
    </w:p>
    <w:p>
      <w:pPr>
        <w:spacing w:after="60"/>
      </w:pPr>
    </w:p>
    <w:p>
      <w:pPr>
        <w:pStyle w:val="Heading3"/>
      </w:pPr>
      <w:r>
        <w:t xml:space="preserve">Semana 2: Carga de personas</w:t>
      </w:r>
    </w:p>
    <w:p>
      <w:pPr>
        <w:pStyle w:val="ListParagraph"/>
        <w:numPr>
          <w:ilvl w:val="0"/>
          <w:numId w:val="3"/>
        </w:numPr>
        <w:spacing w:after="50"/>
      </w:pPr>
      <w:r>
        <w:rPr>
          <w:sz w:val="21"/>
          <w:szCs w:val="21"/>
        </w:rPr>
        <w:t xml:space="preserve">Importar nómina de alumnos vía Excel (formato sección 8.1)</w:t>
      </w:r>
    </w:p>
    <w:p>
      <w:pPr>
        <w:pStyle w:val="ListParagraph"/>
        <w:numPr>
          <w:ilvl w:val="0"/>
          <w:numId w:val="3"/>
        </w:numPr>
        <w:spacing w:after="50"/>
      </w:pPr>
      <w:r>
        <w:rPr>
          <w:sz w:val="21"/>
          <w:szCs w:val="21"/>
        </w:rPr>
        <w:t xml:space="preserve">Verificar que todos los alumnos quedaron asignados a su curso</w:t>
      </w:r>
    </w:p>
    <w:p>
      <w:pPr>
        <w:pStyle w:val="ListParagraph"/>
        <w:numPr>
          <w:ilvl w:val="0"/>
          <w:numId w:val="3"/>
        </w:numPr>
        <w:spacing w:after="50"/>
      </w:pPr>
      <w:r>
        <w:rPr>
          <w:sz w:val="21"/>
          <w:szCs w:val="21"/>
        </w:rPr>
        <w:t xml:space="preserve">Importar nómina de funcionarios vía Excel</w:t>
      </w:r>
    </w:p>
    <w:p>
      <w:pPr>
        <w:pStyle w:val="ListParagraph"/>
        <w:numPr>
          <w:ilvl w:val="0"/>
          <w:numId w:val="3"/>
        </w:numPr>
        <w:spacing w:after="50"/>
      </w:pPr>
      <w:r>
        <w:rPr>
          <w:sz w:val="21"/>
          <w:szCs w:val="21"/>
        </w:rPr>
        <w:t xml:space="preserve">Asignar docentes a asignaturas y cursos</w:t>
      </w:r>
    </w:p>
    <w:p>
      <w:pPr>
        <w:pStyle w:val="ListParagraph"/>
        <w:numPr>
          <w:ilvl w:val="0"/>
          <w:numId w:val="3"/>
        </w:numPr>
        <w:spacing w:after="50"/>
      </w:pPr>
      <w:r>
        <w:rPr>
          <w:sz w:val="21"/>
          <w:szCs w:val="21"/>
        </w:rPr>
        <w:t xml:space="preserve">Crear usuarios para docentes e inspectores</w:t>
      </w:r>
    </w:p>
    <w:p>
      <w:pPr>
        <w:spacing w:after="60"/>
      </w:pPr>
    </w:p>
    <w:p>
      <w:pPr>
        <w:pStyle w:val="Heading3"/>
      </w:pPr>
      <w:r>
        <w:t xml:space="preserve">Semana 3: Datos financieros</w:t>
      </w:r>
    </w:p>
    <w:p>
      <w:pPr>
        <w:pStyle w:val="ListParagraph"/>
        <w:numPr>
          <w:ilvl w:val="0"/>
          <w:numId w:val="3"/>
        </w:numPr>
        <w:spacing w:after="50"/>
      </w:pPr>
      <w:r>
        <w:rPr>
          <w:sz w:val="21"/>
          <w:szCs w:val="21"/>
        </w:rPr>
        <w:t xml:space="preserve">Crear fondos activos con presupuesto anual</w:t>
      </w:r>
    </w:p>
    <w:p>
      <w:pPr>
        <w:pStyle w:val="ListParagraph"/>
        <w:numPr>
          <w:ilvl w:val="0"/>
          <w:numId w:val="3"/>
        </w:numPr>
        <w:spacing w:after="50"/>
      </w:pPr>
      <w:r>
        <w:rPr>
          <w:sz w:val="21"/>
          <w:szCs w:val="21"/>
        </w:rPr>
        <w:t xml:space="preserve">Importar cartola bancaria del año en curso</w:t>
      </w:r>
    </w:p>
    <w:p>
      <w:pPr>
        <w:pStyle w:val="ListParagraph"/>
        <w:numPr>
          <w:ilvl w:val="0"/>
          <w:numId w:val="3"/>
        </w:numPr>
        <w:spacing w:after="50"/>
      </w:pPr>
      <w:r>
        <w:rPr>
          <w:sz w:val="21"/>
          <w:szCs w:val="21"/>
        </w:rPr>
        <w:t xml:space="preserve">Conciliar movimientos y clasificar por fondo/categoría</w:t>
      </w:r>
    </w:p>
    <w:p>
      <w:pPr>
        <w:pStyle w:val="ListParagraph"/>
        <w:numPr>
          <w:ilvl w:val="0"/>
          <w:numId w:val="3"/>
        </w:numPr>
        <w:spacing w:after="50"/>
      </w:pPr>
      <w:r>
        <w:rPr>
          <w:sz w:val="21"/>
          <w:szCs w:val="21"/>
        </w:rPr>
        <w:t xml:space="preserve">Registrar contratos con proveedores vigentes</w:t>
      </w:r>
    </w:p>
    <w:p>
      <w:pPr>
        <w:spacing w:after="60"/>
      </w:pPr>
    </w:p>
    <w:p>
      <w:pPr>
        <w:pStyle w:val="Heading3"/>
      </w:pPr>
      <w:r>
        <w:t xml:space="preserve">Semana 4: Datos académicos históricos (opcional)</w:t>
      </w:r>
    </w:p>
    <w:p>
      <w:pPr>
        <w:pStyle w:val="ListParagraph"/>
        <w:numPr>
          <w:ilvl w:val="0"/>
          <w:numId w:val="3"/>
        </w:numPr>
        <w:spacing w:after="50"/>
      </w:pPr>
      <w:r>
        <w:rPr>
          <w:sz w:val="21"/>
          <w:szCs w:val="21"/>
        </w:rPr>
        <w:t xml:space="preserve">Importar notas del semestre/año en curso si existen en Excel</w:t>
      </w:r>
    </w:p>
    <w:p>
      <w:pPr>
        <w:pStyle w:val="ListParagraph"/>
        <w:numPr>
          <w:ilvl w:val="0"/>
          <w:numId w:val="3"/>
        </w:numPr>
        <w:spacing w:after="50"/>
      </w:pPr>
      <w:r>
        <w:rPr>
          <w:sz w:val="21"/>
          <w:szCs w:val="21"/>
        </w:rPr>
        <w:t xml:space="preserve">Importar asistencia histórica si existe</w:t>
      </w:r>
    </w:p>
    <w:p>
      <w:pPr>
        <w:pStyle w:val="ListParagraph"/>
        <w:numPr>
          <w:ilvl w:val="0"/>
          <w:numId w:val="3"/>
        </w:numPr>
        <w:spacing w:after="50"/>
      </w:pPr>
      <w:r>
        <w:rPr>
          <w:sz w:val="21"/>
          <w:szCs w:val="21"/>
        </w:rPr>
        <w:t xml:space="preserve">Cargar inventario de bienes vía Excel</w:t>
      </w:r>
    </w:p>
    <w:p>
      <w:pPr>
        <w:pStyle w:val="ListParagraph"/>
        <w:numPr>
          <w:ilvl w:val="0"/>
          <w:numId w:val="3"/>
        </w:numPr>
        <w:spacing w:after="50"/>
      </w:pPr>
      <w:r>
        <w:rPr>
          <w:sz w:val="21"/>
          <w:szCs w:val="21"/>
        </w:rPr>
        <w:t xml:space="preserve">Configurar fondos y presupuesto</w:t>
      </w:r>
    </w:p>
    <w:p>
      <w:pPr>
        <w:spacing w:after="60"/>
      </w:pPr>
    </w:p>
    <w:p>
      <w:pPr>
        <w:pStyle w:val="Heading3"/>
      </w:pPr>
      <w:r>
        <w:t xml:space="preserve">Semana 5: Puesta en marcha</w:t>
      </w:r>
    </w:p>
    <w:p>
      <w:pPr>
        <w:pStyle w:val="ListParagraph"/>
        <w:numPr>
          <w:ilvl w:val="0"/>
          <w:numId w:val="3"/>
        </w:numPr>
        <w:spacing w:after="50"/>
      </w:pPr>
      <w:r>
        <w:rPr>
          <w:sz w:val="21"/>
          <w:szCs w:val="21"/>
        </w:rPr>
        <w:t xml:space="preserve">Capacitación a usuarios por rol (2 horas por grupo)</w:t>
      </w:r>
    </w:p>
    <w:p>
      <w:pPr>
        <w:pStyle w:val="ListParagraph"/>
        <w:numPr>
          <w:ilvl w:val="0"/>
          <w:numId w:val="3"/>
        </w:numPr>
        <w:spacing w:after="50"/>
      </w:pPr>
      <w:r>
        <w:rPr>
          <w:sz w:val="21"/>
          <w:szCs w:val="21"/>
        </w:rPr>
        <w:t xml:space="preserve">Prueba piloto: 1 semana de uso paralelo (ERP + sistema anterior)</w:t>
      </w:r>
    </w:p>
    <w:p>
      <w:pPr>
        <w:pStyle w:val="ListParagraph"/>
        <w:numPr>
          <w:ilvl w:val="0"/>
          <w:numId w:val="3"/>
        </w:numPr>
        <w:spacing w:after="50"/>
      </w:pPr>
      <w:r>
        <w:rPr>
          <w:sz w:val="21"/>
          <w:szCs w:val="21"/>
        </w:rPr>
        <w:t xml:space="preserve">Ajustes según feedback</w:t>
      </w:r>
    </w:p>
    <w:p>
      <w:pPr>
        <w:pStyle w:val="ListParagraph"/>
        <w:numPr>
          <w:ilvl w:val="0"/>
          <w:numId w:val="3"/>
        </w:numPr>
        <w:spacing w:after="50"/>
      </w:pPr>
      <w:r>
        <w:rPr>
          <w:sz w:val="21"/>
          <w:szCs w:val="21"/>
        </w:rPr>
        <w:t xml:space="preserve">Go-live definitivo</w:t>
      </w:r>
    </w:p>
    <w:p>
      <w:r>
        <w:br w:type="page"/>
      </w:r>
    </w:p>
    <w:p>
      <w:pPr>
        <w:pStyle w:val="Heading2"/>
      </w:pPr>
      <w:r>
        <w:t xml:space="preserve">11. Templates de importación</w:t>
      </w:r>
    </w:p>
    <w:p>
      <w:pPr>
        <w:spacing w:after="100"/>
      </w:pPr>
      <w:r>
        <w:t xml:space="preserve">El ERP debe ofrecer templates (plantillas Excel) descargables desde el propio sistema para cada tipo de importación:</w:t>
      </w:r>
    </w:p>
    <w:p>
      <w:pPr>
        <w:spacing w:after="60"/>
      </w:pPr>
    </w:p>
    <w:p>
      <w:pPr>
        <w:pStyle w:val="ListParagraph"/>
        <w:numPr>
          <w:ilvl w:val="0"/>
          <w:numId w:val="2"/>
        </w:numPr>
        <w:spacing w:after="50"/>
      </w:pPr>
      <w:r>
        <w:rPr>
          <w:sz w:val="21"/>
          <w:szCs w:val="21"/>
        </w:rPr>
        <w:t xml:space="preserve">Descargar plantilla de alumnos (Excel con cabeceras correctas y 2 filas de ejemplo)</w:t>
      </w:r>
    </w:p>
    <w:p>
      <w:pPr>
        <w:pStyle w:val="ListParagraph"/>
        <w:numPr>
          <w:ilvl w:val="0"/>
          <w:numId w:val="2"/>
        </w:numPr>
        <w:spacing w:after="50"/>
      </w:pPr>
      <w:r>
        <w:rPr>
          <w:sz w:val="21"/>
          <w:szCs w:val="21"/>
        </w:rPr>
        <w:t xml:space="preserve">Descargar plantilla de notas</w:t>
      </w:r>
    </w:p>
    <w:p>
      <w:pPr>
        <w:pStyle w:val="ListParagraph"/>
        <w:numPr>
          <w:ilvl w:val="0"/>
          <w:numId w:val="2"/>
        </w:numPr>
        <w:spacing w:after="50"/>
      </w:pPr>
      <w:r>
        <w:rPr>
          <w:sz w:val="21"/>
          <w:szCs w:val="21"/>
        </w:rPr>
        <w:t xml:space="preserve">Descargar plantilla de inventario</w:t>
      </w:r>
    </w:p>
    <w:p>
      <w:pPr>
        <w:pStyle w:val="ListParagraph"/>
        <w:numPr>
          <w:ilvl w:val="0"/>
          <w:numId w:val="2"/>
        </w:numPr>
        <w:spacing w:after="50"/>
      </w:pPr>
      <w:r>
        <w:rPr>
          <w:sz w:val="21"/>
          <w:szCs w:val="21"/>
        </w:rPr>
        <w:t xml:space="preserve">Descargar plantilla de funcionarios</w:t>
      </w:r>
    </w:p>
    <w:p>
      <w:pPr>
        <w:pStyle w:val="ListParagraph"/>
        <w:numPr>
          <w:ilvl w:val="0"/>
          <w:numId w:val="2"/>
        </w:numPr>
        <w:spacing w:after="50"/>
      </w:pPr>
      <w:r>
        <w:rPr>
          <w:sz w:val="21"/>
          <w:szCs w:val="21"/>
        </w:rPr>
        <w:t xml:space="preserve">Descargar plantilla de asistencia</w:t>
      </w:r>
    </w:p>
    <w:p>
      <w:pPr>
        <w:spacing w:after="60"/>
      </w:pPr>
    </w:p>
    <w:p>
      <w:pPr>
        <w:spacing w:after="100"/>
      </w:pPr>
      <w:r>
        <w:t xml:space="preserve">Cada template incluye:</w:t>
      </w:r>
    </w:p>
    <w:p>
      <w:pPr>
        <w:pStyle w:val="ListParagraph"/>
        <w:numPr>
          <w:ilvl w:val="0"/>
          <w:numId w:val="4"/>
        </w:numPr>
        <w:spacing w:after="40"/>
      </w:pPr>
      <w:r>
        <w:rPr>
          <w:sz w:val="20"/>
          <w:szCs w:val="20"/>
        </w:rPr>
        <w:t xml:space="preserve">Cabeceras con el nombre exacto de cada columna</w:t>
      </w:r>
    </w:p>
    <w:p>
      <w:pPr>
        <w:pStyle w:val="ListParagraph"/>
        <w:numPr>
          <w:ilvl w:val="0"/>
          <w:numId w:val="4"/>
        </w:numPr>
        <w:spacing w:after="40"/>
      </w:pPr>
      <w:r>
        <w:rPr>
          <w:sz w:val="20"/>
          <w:szCs w:val="20"/>
        </w:rPr>
        <w:t xml:space="preserve">2-3 filas de ejemplo con datos ficticios válidos</w:t>
      </w:r>
    </w:p>
    <w:p>
      <w:pPr>
        <w:pStyle w:val="ListParagraph"/>
        <w:numPr>
          <w:ilvl w:val="0"/>
          <w:numId w:val="4"/>
        </w:numPr>
        <w:spacing w:after="40"/>
      </w:pPr>
      <w:r>
        <w:rPr>
          <w:sz w:val="20"/>
          <w:szCs w:val="20"/>
        </w:rPr>
        <w:t xml:space="preserve">Una hoja adicional “Instrucciones” con las reglas de validación de cada columna</w:t>
      </w:r>
    </w:p>
    <w:p>
      <w:pPr>
        <w:pStyle w:val="ListParagraph"/>
        <w:numPr>
          <w:ilvl w:val="0"/>
          <w:numId w:val="4"/>
        </w:numPr>
        <w:spacing w:after="40"/>
      </w:pPr>
      <w:r>
        <w:rPr>
          <w:sz w:val="20"/>
          <w:szCs w:val="20"/>
        </w:rPr>
        <w:t xml:space="preserve">Listas de validación en celdas donde aplique (ej: dropdown de Género, Categoría)</w:t>
      </w:r>
    </w:p>
    <w:p>
      <w:pPr>
        <w:spacing w:after="60"/>
      </w:pPr>
    </w:p>
    <w:p>
      <w:pPr>
        <w:spacing w:after="100"/>
      </w:pPr>
      <w:r>
        <w:rPr>
          <w:b/>
          <w:bCs/>
        </w:rPr>
        <w:t xml:space="preserve">El botón de descarga de template aparece junto al botón de importar en cada módulo.</w:t>
      </w:r>
    </w:p>
    <w:p>
      <w:r>
        <w:br w:type="page"/>
      </w:r>
    </w:p>
    <w:p>
      <w:pPr>
        <w:pStyle w:val="Heading2"/>
      </w:pPr>
      <w:r>
        <w:t xml:space="preserve">12. Alimentación inteligente con IA (Fase futura)</w:t>
      </w:r>
    </w:p>
    <w:p>
      <w:pPr>
        <w:spacing w:after="100"/>
      </w:pPr>
      <w:r>
        <w:t xml:space="preserve">Diferenciador para Flowmind: usar IA para interpretar documentos no estructurados que los colegios reciben:</w:t>
      </w:r>
    </w:p>
    <w:p>
      <w:pPr>
        <w:spacing w:after="60"/>
      </w:pPr>
    </w:p>
    <w:p>
      <w:pPr>
        <w:pStyle w:val="ListParagraph"/>
        <w:numPr>
          <w:ilvl w:val="0"/>
          <w:numId w:val="2"/>
        </w:numPr>
        <w:spacing w:after="50"/>
      </w:pPr>
      <w:r>
        <w:rPr>
          <w:b/>
          <w:bCs/>
          <w:sz w:val="21"/>
          <w:szCs w:val="21"/>
        </w:rPr>
        <w:t xml:space="preserve">OCR de certificados de nacimiento: </w:t>
      </w:r>
      <w:r>
        <w:rPr>
          <w:sz w:val="21"/>
          <w:szCs w:val="21"/>
        </w:rPr>
        <w:t xml:space="preserve">El apoderado sube foto del certificado, la IA extrae nombre, RUN, fecha nacimiento y llena la ficha automáticamente. El usuario solo revisa y confirma.</w:t>
      </w:r>
    </w:p>
    <w:p>
      <w:pPr>
        <w:pStyle w:val="ListParagraph"/>
        <w:numPr>
          <w:ilvl w:val="0"/>
          <w:numId w:val="2"/>
        </w:numPr>
        <w:spacing w:after="50"/>
      </w:pPr>
      <w:r>
        <w:rPr>
          <w:b/>
          <w:bCs/>
          <w:sz w:val="21"/>
          <w:szCs w:val="21"/>
        </w:rPr>
        <w:t xml:space="preserve">OCR de certificados médicos: </w:t>
      </w:r>
      <w:r>
        <w:rPr>
          <w:sz w:val="21"/>
          <w:szCs w:val="21"/>
        </w:rPr>
        <w:t xml:space="preserve">Para justificación de inasistencias. La IA extrae fechas y diagnóstico.</w:t>
      </w:r>
    </w:p>
    <w:p>
      <w:pPr>
        <w:pStyle w:val="ListParagraph"/>
        <w:numPr>
          <w:ilvl w:val="0"/>
          <w:numId w:val="2"/>
        </w:numPr>
        <w:spacing w:after="50"/>
      </w:pPr>
      <w:r>
        <w:rPr>
          <w:b/>
          <w:bCs/>
          <w:sz w:val="21"/>
          <w:szCs w:val="21"/>
        </w:rPr>
        <w:t xml:space="preserve">Lectura de boletas/facturas: </w:t>
      </w:r>
      <w:r>
        <w:rPr>
          <w:sz w:val="21"/>
          <w:szCs w:val="21"/>
        </w:rPr>
        <w:t xml:space="preserve">Para rendición: el admin sube foto de la boleta, la IA extrae proveedor, monto, fecha, folio y clasifica automáticamente.</w:t>
      </w:r>
    </w:p>
    <w:p>
      <w:pPr>
        <w:pStyle w:val="ListParagraph"/>
        <w:numPr>
          <w:ilvl w:val="0"/>
          <w:numId w:val="2"/>
        </w:numPr>
        <w:spacing w:after="50"/>
      </w:pPr>
      <w:r>
        <w:rPr>
          <w:b/>
          <w:bCs/>
          <w:sz w:val="21"/>
          <w:szCs w:val="21"/>
        </w:rPr>
        <w:t xml:space="preserve">Interpretación de cartolas bancarias no estándar: </w:t>
      </w:r>
      <w:r>
        <w:rPr>
          <w:sz w:val="21"/>
          <w:szCs w:val="21"/>
        </w:rPr>
        <w:t xml:space="preserve">Para bancos que entregan cartolas en formatos extraños, la IA normaliza los datos.</w:t>
      </w:r>
    </w:p>
    <w:p>
      <w:pPr>
        <w:spacing w:after="60"/>
      </w:pPr>
    </w:p>
    <w:p>
      <w:pPr>
        <w:spacing w:after="100"/>
      </w:pPr>
      <w:r>
        <w:t xml:space="preserve">Implementación: API de Claude (Anthropic) o GPT para procesamiento de documentos. Guardar el documento original en S3 y el resultado interpretado en la BD. Siempre mostrar al usuario para confirmación antes de guardar.</w:t>
      </w:r>
    </w:p>
    <w:p>
      <w:pPr>
        <w:spacing w:after="100"/>
      </w:pPr>
      <w:r>
        <w:rPr>
          <w:b/>
          <w:bCs/>
        </w:rPr>
        <w:t xml:space="preserve">Esto NO es para el MVP. Es para Fase 5+ como diferenciador de mercado.</w:t>
      </w:r>
    </w:p>
    <w:p>
      <w:r>
        <w:br w:type="page"/>
      </w:r>
    </w:p>
    <w:p>
      <w:pPr>
        <w:pStyle w:val="Heading1"/>
      </w:pPr>
      <w:r>
        <w:t xml:space="preserve">PARTE C — Resumen ejecutivo</w:t>
      </w:r>
    </w:p>
    <w:p>
      <w:pPr>
        <w:spacing w:after="60"/>
      </w:pPr>
    </w:p>
    <w:p>
      <w:pPr>
        <w:pStyle w:val="Heading2"/>
      </w:pPr>
      <w:r>
        <w:t xml:space="preserve">13. Los 4 documentos del proyecto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a1a2e" w:val="clear"/>
            <w:tcMar>
              <w:top w:type="dxa" w:w="55"/>
              <w:left w:type="dxa" w:w="90"/>
              <w:bottom w:type="dxa" w:w="55"/>
              <w:right w:type="dxa" w:w="90"/>
            </w:tcMar>
          </w:tcPr>
          <w:p>
            <w:r>
              <w:rPr>
                <w:rFonts w:ascii="Arial" w:cs="Arial" w:eastAsia="Arial" w:hAnsi="Arial"/>
                <w:b/>
                <w:bCs/>
                <w:color w:val="ffffff"/>
                <w:sz w:val="19"/>
                <w:szCs w:val="19"/>
              </w:rPr>
              <w:t xml:space="preserve">Documento</w:t>
            </w:r>
          </w:p>
        </w:tc>
        <w:tc>
          <w:tcPr>
            <w:tcW w:type="dxa" w:w="4000"/>
            <w:tcBorders>
              <w:top w:val="single" w:color="cccccc" w:sz="1"/>
              <w:left w:val="single" w:color="cccccc" w:sz="1"/>
              <w:bottom w:val="single" w:color="cccccc" w:sz="1"/>
              <w:right w:val="single" w:color="cccccc" w:sz="1"/>
            </w:tcBorders>
            <w:shd w:fill="1a1a2e" w:val="clear"/>
            <w:tcMar>
              <w:top w:type="dxa" w:w="55"/>
              <w:left w:type="dxa" w:w="90"/>
              <w:bottom w:type="dxa" w:w="55"/>
              <w:right w:type="dxa" w:w="90"/>
            </w:tcMar>
          </w:tcPr>
          <w:p>
            <w:r>
              <w:rPr>
                <w:rFonts w:ascii="Arial" w:cs="Arial" w:eastAsia="Arial" w:hAnsi="Arial"/>
                <w:b/>
                <w:bCs/>
                <w:color w:val="ffffff"/>
                <w:sz w:val="19"/>
                <w:szCs w:val="19"/>
              </w:rPr>
              <w:t xml:space="preserve">Contenido</w:t>
            </w:r>
          </w:p>
        </w:tc>
        <w:tc>
          <w:tcPr>
            <w:tcW w:type="dxa" w:w="3560"/>
            <w:tcBorders>
              <w:top w:val="single" w:color="cccccc" w:sz="1"/>
              <w:left w:val="single" w:color="cccccc" w:sz="1"/>
              <w:bottom w:val="single" w:color="cccccc" w:sz="1"/>
              <w:right w:val="single" w:color="cccccc" w:sz="1"/>
            </w:tcBorders>
            <w:shd w:fill="1a1a2e" w:val="clear"/>
            <w:tcMar>
              <w:top w:type="dxa" w:w="55"/>
              <w:left w:type="dxa" w:w="90"/>
              <w:bottom w:type="dxa" w:w="55"/>
              <w:right w:type="dxa" w:w="90"/>
            </w:tcMar>
          </w:tcPr>
          <w:p>
            <w:r>
              <w:rPr>
                <w:rFonts w:ascii="Arial" w:cs="Arial" w:eastAsia="Arial" w:hAnsi="Arial"/>
                <w:b/>
                <w:bCs/>
                <w:color w:val="ffffff"/>
                <w:sz w:val="19"/>
                <w:szCs w:val="19"/>
              </w:rPr>
              <w:t xml:space="preserve">Para quién</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v1: Arquitectura General</w:t>
            </w:r>
          </w:p>
        </w:tc>
        <w:tc>
          <w:tcPr>
            <w:tcW w:type="dxa" w:w="4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Visión alto nivel, stack, roadmap por fases, criterios de aceptación</w:t>
            </w:r>
          </w:p>
        </w:tc>
        <w:tc>
          <w:tcPr>
            <w:tcW w:type="dxa" w:w="3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Decisión de negocio, cotización a terceros</w:t>
            </w:r>
          </w:p>
        </w:tc>
      </w:tr>
      <w:tr>
        <w:tc>
          <w:tcPr>
            <w:tcW w:type="dxa" w:w="1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v2: Especificación Funcional</w:t>
            </w:r>
          </w:p>
        </w:tc>
        <w:tc>
          <w:tcPr>
            <w:tcW w:type="dxa" w:w="4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22 historias de usuario con criterios y campos de datos</w:t>
            </w:r>
          </w:p>
        </w:tc>
        <w:tc>
          <w:tcPr>
            <w:tcW w:type="dxa" w:w="35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Product Owner, diseñadores, QA</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v3: Documento Maestro Unificado</w:t>
            </w:r>
          </w:p>
        </w:tc>
        <w:tc>
          <w:tcPr>
            <w:tcW w:type="dxa" w:w="4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Schema BD, API, eventos, contratos, validaciones, orden de construcción, prompts, checklists</w:t>
            </w:r>
          </w:p>
        </w:tc>
        <w:tc>
          <w:tcPr>
            <w:tcW w:type="dxa" w:w="3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sz w:val="19"/>
                <w:szCs w:val="19"/>
              </w:rPr>
              <w:t xml:space="preserve">El agente programador (Claude Code). Es LA BIBLIA.</w:t>
            </w:r>
          </w:p>
        </w:tc>
      </w:tr>
      <w:tr>
        <w:tc>
          <w:tcPr>
            <w:tcW w:type="dxa" w:w="18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v4: Guía de Ejecución (ESTE)</w:t>
            </w:r>
          </w:p>
        </w:tc>
        <w:tc>
          <w:tcPr>
            <w:tcW w:type="dxa" w:w="400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Estrategia de sesiones, fuentes de datos, formatos de importación, flujo de carga inicial, integraciones</w:t>
            </w:r>
          </w:p>
        </w:tc>
        <w:tc>
          <w:tcPr>
            <w:tcW w:type="dxa" w:w="3560"/>
            <w:tcBorders>
              <w:top w:val="single" w:color="cccccc" w:sz="1"/>
              <w:left w:val="single" w:color="cccccc" w:sz="1"/>
              <w:bottom w:val="single" w:color="cccccc" w:sz="1"/>
              <w:right w:val="single" w:color="cccccc" w:sz="1"/>
            </w:tcBorders>
            <w:shd w:fill="f1efe8" w:val="clear"/>
            <w:tcMar>
              <w:top w:type="dxa" w:w="55"/>
              <w:left w:type="dxa" w:w="90"/>
              <w:bottom w:type="dxa" w:w="55"/>
              <w:right w:type="dxa" w:w="90"/>
            </w:tcMar>
          </w:tcPr>
          <w:p>
            <w:r>
              <w:rPr>
                <w:rFonts w:ascii="Arial" w:cs="Arial" w:eastAsia="Arial" w:hAnsi="Arial"/>
                <w:sz w:val="19"/>
                <w:szCs w:val="19"/>
              </w:rPr>
              <w:t xml:space="preserve">El coordinador del proyecto (Ceo/PM)</w:t>
            </w:r>
          </w:p>
        </w:tc>
      </w:tr>
    </w:tbl>
    <w:p>
      <w:pPr>
        <w:spacing w:after="60"/>
      </w:pPr>
    </w:p>
    <w:p>
      <w:pPr>
        <w:pStyle w:val="Heading2"/>
      </w:pPr>
      <w:r>
        <w:t xml:space="preserve">14. Respuesta directa: ¿Funcionará con Claude Code?</w:t>
      </w:r>
    </w:p>
    <w:p>
      <w:pPr>
        <w:spacing w:after="60"/>
      </w:pPr>
    </w:p>
    <w:p>
      <w:pPr>
        <w:spacing w:after="100"/>
      </w:pPr>
      <w:r>
        <w:rPr>
          <w:b/>
          <w:bCs/>
        </w:rPr>
        <w:t xml:space="preserve">Sí, con estas condiciones:</w:t>
      </w:r>
    </w:p>
    <w:p>
      <w:pPr>
        <w:spacing w:after="60"/>
      </w:pPr>
    </w:p>
    <w:p>
      <w:pPr>
        <w:pStyle w:val="ListParagraph"/>
        <w:numPr>
          <w:ilvl w:val="0"/>
          <w:numId w:val="3"/>
        </w:numPr>
        <w:spacing w:after="50"/>
      </w:pPr>
      <w:r>
        <w:rPr>
          <w:sz w:val="21"/>
          <w:szCs w:val="21"/>
        </w:rPr>
        <w:t xml:space="preserve">Usar múltiples sesiones enfocadas (16 sesiones según tabla de la Parte A)</w:t>
      </w:r>
    </w:p>
    <w:p>
      <w:pPr>
        <w:pStyle w:val="ListParagraph"/>
        <w:numPr>
          <w:ilvl w:val="0"/>
          <w:numId w:val="3"/>
        </w:numPr>
        <w:spacing w:after="50"/>
      </w:pPr>
      <w:r>
        <w:rPr>
          <w:sz w:val="21"/>
          <w:szCs w:val="21"/>
        </w:rPr>
        <w:t xml:space="preserve">SIEMPRE pasar el Documento Maestro (v3) como contexto en cada sesión</w:t>
      </w:r>
    </w:p>
    <w:p>
      <w:pPr>
        <w:pStyle w:val="ListParagraph"/>
        <w:numPr>
          <w:ilvl w:val="0"/>
          <w:numId w:val="3"/>
        </w:numPr>
        <w:spacing w:after="50"/>
      </w:pPr>
      <w:r>
        <w:rPr>
          <w:sz w:val="21"/>
          <w:szCs w:val="21"/>
        </w:rPr>
        <w:t xml:space="preserve">NUNCA pedir “termina todo”. Siempre: “construye el módulo X”</w:t>
      </w:r>
    </w:p>
    <w:p>
      <w:pPr>
        <w:pStyle w:val="ListParagraph"/>
        <w:numPr>
          <w:ilvl w:val="0"/>
          <w:numId w:val="3"/>
        </w:numPr>
        <w:spacing w:after="50"/>
      </w:pPr>
      <w:r>
        <w:rPr>
          <w:sz w:val="21"/>
          <w:szCs w:val="21"/>
        </w:rPr>
        <w:t xml:space="preserve">Verificar con checklist después de cada módulo</w:t>
      </w:r>
    </w:p>
    <w:p>
      <w:pPr>
        <w:pStyle w:val="ListParagraph"/>
        <w:numPr>
          <w:ilvl w:val="0"/>
          <w:numId w:val="3"/>
        </w:numPr>
        <w:spacing w:after="50"/>
      </w:pPr>
      <w:r>
        <w:rPr>
          <w:sz w:val="21"/>
          <w:szCs w:val="21"/>
        </w:rPr>
        <w:t xml:space="preserve">Git commit después de cada sesión exitosa</w:t>
      </w:r>
    </w:p>
    <w:p>
      <w:pPr>
        <w:pStyle w:val="ListParagraph"/>
        <w:numPr>
          <w:ilvl w:val="0"/>
          <w:numId w:val="3"/>
        </w:numPr>
        <w:spacing w:after="50"/>
      </w:pPr>
      <w:r>
        <w:rPr>
          <w:sz w:val="21"/>
          <w:szCs w:val="21"/>
        </w:rPr>
        <w:t xml:space="preserve">Si una sesión falla, abrir una nueva (no intentar recuperar la misma)</w:t>
      </w:r>
    </w:p>
    <w:p>
      <w:pPr>
        <w:spacing w:after="60"/>
      </w:pPr>
    </w:p>
    <w:p>
      <w:pPr>
        <w:spacing w:after="100"/>
      </w:pPr>
      <w:r>
        <w:rPr>
          <w:b/>
          <w:bCs/>
        </w:rPr>
        <w:t xml:space="preserve">Riesgo principal: las integraciones con SII y SIGE pueden requerir ajustes manuales porque los formatos de estos sistemas cambian sin previo aviso. Pero el núcleo del ERP (académico + financiero + RRHH) es completamente construible con este set de documentos.</w:t>
      </w:r>
    </w:p>
    <w:p>
      <w:pPr>
        <w:spacing w:after="60"/>
      </w:pPr>
    </w:p>
    <w:p>
      <w:pPr>
        <w:spacing w:after="100"/>
      </w:pPr>
      <w:r>
        <w:rPr>
          <w:b/>
          <w:bCs/>
        </w:rPr>
        <w:t xml:space="preserve">¿Se puede arreglar un módulo sin afectar a otro? Sí, siempre que se respete el contrato del módulo (Parte IV del doc maestro). El contrato es la frontera: mientras lo que entra y sale del módulo no cambie, el interior se puede reescribir completamente.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840"/>
      </w:tabs>
    </w:pPr>
    <w:r>
      <w:rPr>
        <w:rFonts w:ascii="Arial" w:cs="Arial" w:eastAsia="Arial" w:hAnsi="Arial"/>
        <w:color w:val="993c1d"/>
        <w:sz w:val="15"/>
        <w:szCs w:val="15"/>
      </w:rPr>
      <w:t xml:space="preserve">CONFIDENCIAL — Flowmind</w:t>
    </w:r>
    <w:r>
      <w:rPr>
        <w:rFonts w:ascii="Arial" w:cs="Arial" w:eastAsia="Arial" w:hAnsi="Arial"/>
      </w:rPr>
      <w:t xml:space="preserve">	</w:t>
    </w:r>
    <w:r>
      <w:rPr>
        <w:rFonts w:ascii="Arial" w:cs="Arial" w:eastAsia="Arial" w:hAnsi="Arial"/>
        <w:color w:val="5f5e5a"/>
        <w:sz w:val="15"/>
        <w:szCs w:val="15"/>
      </w:rPr>
      <w:t xml:space="preserve">Pág </w:t>
    </w:r>
    <w:r>
      <w:rPr>
        <w:rFonts w:ascii="Arial" w:cs="Arial" w:eastAsia="Arial" w:hAnsi="Arial"/>
        <w:color w:val="5f5e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tabs>
        <w:tab w:val="right" w:pos="9840"/>
      </w:tabs>
    </w:pPr>
    <w:r>
      <w:rPr>
        <w:rFonts w:ascii="Arial" w:cs="Arial" w:eastAsia="Arial" w:hAnsi="Arial"/>
        <w:color w:val="5f5e5a"/>
        <w:sz w:val="16"/>
        <w:szCs w:val="16"/>
      </w:rPr>
      <w:t xml:space="preserve">Flowmind School ERP — Guía de Ejecución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4"/>
      <w:szCs w:val="34"/>
    </w:rPr>
  </w:style>
  <w:style w:type="paragraph" w:styleId="Heading2">
    <w:name w:val="Heading 2"/>
    <w:basedOn w:val="Normal"/>
    <w:next w:val="Normal"/>
    <w:qFormat/>
    <w:pPr>
      <w:spacing w:after="150" w:before="240"/>
      <w:outlineLvl w:val="1"/>
    </w:pPr>
    <w:rPr>
      <w:rFonts w:ascii="Arial" w:cs="Arial" w:eastAsia="Arial" w:hAnsi="Arial"/>
      <w:b/>
      <w:bCs/>
      <w:color w:val="0f6e56"/>
      <w:sz w:val="27"/>
      <w:szCs w:val="27"/>
    </w:rPr>
  </w:style>
  <w:style w:type="paragraph" w:styleId="Heading3">
    <w:name w:val="Heading 3"/>
    <w:basedOn w:val="Normal"/>
    <w:next w:val="Normal"/>
    <w:qFormat/>
    <w:pPr>
      <w:spacing w:after="120" w:before="180"/>
      <w:outlineLvl w:val="2"/>
    </w:pPr>
    <w:rPr>
      <w:rFonts w:ascii="Arial" w:cs="Arial" w:eastAsia="Arial" w:hAnsi="Arial"/>
      <w:b/>
      <w:bCs/>
      <w:color w:val="185fa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2026-04-15T02:10:22.432Z</dcterms:created>
  <dcterms:modified xsi:type="dcterms:W3CDTF">2026-04-15T02:10:22.433Z</dcterms:modified>
</cp:coreProperties>
</file>

<file path=docProps/custom.xml><?xml version="1.0" encoding="utf-8"?>
<Properties xmlns="http://schemas.openxmlformats.org/officeDocument/2006/custom-properties" xmlns:vt="http://schemas.openxmlformats.org/officeDocument/2006/docPropsVTypes"/>
</file>