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78"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Normalised Radar Backscatter (NRB)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5.6.0-draft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p>
    <w:p>
      <w:pPr>
        <w:pStyle w:val="Textkrper"/>
      </w:pP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digital elevation model (DEM), for which the topographic phase contribution is removed.</w:t>
      </w:r>
    </w:p>
    <w:p>
      <w:pPr>
        <w:pStyle w:val="Textkrper"/>
      </w:pPr>
      <w:r>
        <w:t xml:space="preserve">The NRB specification accommodates basic mosaic products generated from more than one input data source, where each pixel value in the NRB product uniquely corresponds to the pixel value of one of its input data sources, indicated in the Acquisition ID per-pixel metadata.</w:t>
      </w:r>
      <w:r>
        <w:t xml:space="preserve"> </w:t>
      </w:r>
      <w:r>
        <w:t xml:space="preserve">For products where the pixel value is dependent on multiple input sources, see the Composite Backscatter (CB) PFS.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w:t>
      </w:r>
      <w:r>
        <w:t xml:space="preserve"> </w:t>
      </w:r>
      <w:r>
        <w:t xml:space="preserve">Only when Flattened phase per-pixel metadata (see</w:t>
      </w:r>
      <w:r>
        <w:t xml:space="preserve"> </w:t>
      </w:r>
      <w:hyperlink w:anchor="sec:rcm-flapha">
        <w:r>
          <w:rPr>
            <w:rStyle w:val="Hyperlink"/>
          </w:rPr>
          <w:t xml:space="preserve">Radiometrically Corrected Measurements: Flattened Phase</w:t>
        </w:r>
      </w:hyperlink>
      <w: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bookmarkEnd w:id="158"/>
    <w:bookmarkStart w:id="159" w:name="assessment-29"/>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9"/>
    <w:bookmarkEnd w:id="160"/>
    <w:bookmarkEnd w:id="161"/>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2"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2"/>
    <w:bookmarkStart w:id="163"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3"/>
    <w:bookmarkStart w:id="164" w:name="assessment-30"/>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6" w:name="threshold-requirements-31"/>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66"/>
    <w:bookmarkStart w:id="167"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7"/>
    <w:bookmarkStart w:id="168" w:name="assessment-31"/>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8"/>
    <w:bookmarkEnd w:id="169"/>
    <w:bookmarkStart w:id="173"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0" w:name="threshold-requirements-32"/>
    <w:p>
      <w:pPr>
        <w:pStyle w:val="berschrift5"/>
      </w:pPr>
      <w:r>
        <w:t xml:space="preserve">Threshold requirements:</w:t>
      </w:r>
    </w:p>
    <w:p>
      <w:pPr>
        <w:pStyle w:val="FirstParagraph"/>
      </w:pPr>
      <w:r>
        <w:t xml:space="preserve">Not required.</w:t>
      </w:r>
      <w:r>
        <w:t xml:space="preserve"> </w:t>
      </w:r>
    </w:p>
    <w:bookmarkEnd w:id="170"/>
    <w:bookmarkStart w:id="171"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6"/>
        </w:numPr>
      </w:pPr>
      <w:r>
        <w:t xml:space="preserve">Sample Type (Scattering Area)</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7"/>
        </w:numPr>
      </w:pPr>
      <w:r>
        <w:t xml:space="preserve">Required for products such as NRB and POL if they are to be used as an input to production of composite backscatter (CB) when weighted averages based on the areas are used to generate composite backscatter.</w:t>
      </w:r>
    </w:p>
    <w:bookmarkEnd w:id="171"/>
    <w:bookmarkStart w:id="172" w:name="assessment-32"/>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2"/>
    <w:bookmarkEnd w:id="173"/>
    <w:bookmarkStart w:id="177"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4"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FirstParagraph"/>
      </w:pPr>
      <w:r>
        <w:t xml:space="preserve">Note:</w:t>
      </w:r>
    </w:p>
    <w:p>
      <w:pPr>
        <w:pStyle w:val="Compact"/>
        <w:numPr>
          <w:ilvl w:val="0"/>
          <w:numId w:val="1060"/>
        </w:numPr>
      </w:pPr>
      <w:r>
        <w:t xml:space="preserve">For CEOS-ARD products created from repeat-pass acquisitions, with narrow orbital tube radius, a single static per pixel metadata file can be provided as a URL address of that unique metadata file.</w:t>
      </w:r>
    </w:p>
    <w:bookmarkEnd w:id="174"/>
    <w:bookmarkStart w:id="175" w:name="goal-requirements-33"/>
    <w:p>
      <w:pPr>
        <w:pStyle w:val="berschrift5"/>
      </w:pPr>
      <w:r>
        <w:t xml:space="preserve">Goal requirements:</w:t>
      </w:r>
    </w:p>
    <w:p>
      <w:pPr>
        <w:pStyle w:val="FirstParagraph"/>
      </w:pPr>
      <w:r>
        <w:t xml:space="preserve">As threshold.</w:t>
      </w:r>
      <w:r>
        <w:t xml:space="preserve"> </w:t>
      </w:r>
    </w:p>
    <w:bookmarkEnd w:id="175"/>
    <w:bookmarkStart w:id="176" w:name="assessment-33"/>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6"/>
    <w:bookmarkEnd w:id="177"/>
    <w:bookmarkStart w:id="181"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8" w:name="threshold-requirements-34"/>
    <w:p>
      <w:pPr>
        <w:pStyle w:val="berschrift5"/>
      </w:pPr>
      <w:r>
        <w:t xml:space="preserve">Threshold requirements:</w:t>
      </w:r>
    </w:p>
    <w:p>
      <w:pPr>
        <w:pStyle w:val="FirstParagraph"/>
      </w:pPr>
      <w:r>
        <w:t xml:space="preserve">Not required.</w:t>
      </w:r>
      <w:r>
        <w:t xml:space="preserve"> </w:t>
      </w:r>
    </w:p>
    <w:bookmarkEnd w:id="178"/>
    <w:bookmarkStart w:id="179"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2"/>
        </w:numPr>
      </w:pPr>
      <w:r>
        <w:t xml:space="preserve">Sample Type (Angle)</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p>
      <w:pPr>
        <w:pStyle w:val="Compact"/>
        <w:numPr>
          <w:ilvl w:val="0"/>
          <w:numId w:val="1062"/>
        </w:numPr>
      </w:pPr>
      <w:r>
        <w:t xml:space="preserve">Reference Ellipsoid Name</w:t>
      </w:r>
    </w:p>
    <w:p>
      <w:pPr>
        <w:pStyle w:val="FirstParagraph"/>
      </w:pPr>
      <w:r>
        <w:t xml:space="preserve">Note:</w:t>
      </w:r>
    </w:p>
    <w:p>
      <w:pPr>
        <w:pStyle w:val="Compact"/>
        <w:numPr>
          <w:ilvl w:val="0"/>
          <w:numId w:val="1063"/>
        </w:numPr>
      </w:pPr>
      <w:r>
        <w:t xml:space="preserve">For CEOS-ARD products created from repeat-pass acquisitions, with narrow orbital tube radius, a single static per pixel metadata file can be provided as a URL address of that unique metadata file.</w:t>
      </w:r>
    </w:p>
    <w:bookmarkEnd w:id="179"/>
    <w:bookmarkStart w:id="180" w:name="assessment-34"/>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0"/>
    <w:bookmarkEnd w:id="181"/>
    <w:bookmarkStart w:id="185"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5"/>
        </w:numPr>
      </w:pPr>
      <w:r>
        <w:t xml:space="preserve">Sample Type (Gamma-Nought, Sigma-Nought, Beta-Nought)</w:t>
      </w:r>
    </w:p>
    <w:p>
      <w:pPr>
        <w:pStyle w:val="Compact"/>
        <w:numPr>
          <w:ilvl w:val="0"/>
          <w:numId w:val="1065"/>
        </w:numPr>
      </w:pPr>
      <w:r>
        <w:t xml:space="preserve">Correction model type (Ellipsoid, Topography)</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3"/>
    <w:bookmarkStart w:id="184" w:name="assessment-35"/>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4"/>
    <w:bookmarkEnd w:id="185"/>
    <w:bookmarkStart w:id="189" w:name="sec:pxl-gasiri"/>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7"/>
        </w:numPr>
      </w:pPr>
      <w:r>
        <w:t xml:space="preserve">Sample Type (Ratio)</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FirstParagraph"/>
      </w:pPr>
      <w:r>
        <w:t xml:space="preserve">Note:</w:t>
      </w:r>
    </w:p>
    <w:p>
      <w:pPr>
        <w:pStyle w:val="Compact"/>
        <w:numPr>
          <w:ilvl w:val="0"/>
          <w:numId w:val="1068"/>
        </w:numPr>
      </w:pPr>
      <w:r>
        <w:t xml:space="preserve">For CEOS-ARD products created from repeat-pass acquisitions, with narrow orbital tube radius, a single static per pixel metadata file can be provided as a URL address of that unique metadata file.</w:t>
      </w:r>
    </w:p>
    <w:bookmarkEnd w:id="187"/>
    <w:bookmarkStart w:id="188"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8"/>
    <w:bookmarkEnd w:id="189"/>
    <w:bookmarkStart w:id="193" w:name="sec:pxl-pacqidm"/>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90" w:name="threshold-requirements-37"/>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70"/>
        </w:numPr>
      </w:pPr>
      <w:r>
        <w:t xml:space="preserve">Sample type (Day, Time, ID)</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190"/>
    <w:bookmarkStart w:id="191" w:name="goal-requirements-37"/>
    <w:p>
      <w:pPr>
        <w:pStyle w:val="berschrift5"/>
      </w:pPr>
      <w:r>
        <w:t xml:space="preserve">Goal requirements:</w:t>
      </w:r>
    </w:p>
    <w:p>
      <w:pPr>
        <w:pStyle w:val="FirstParagraph"/>
      </w:pPr>
      <w:r>
        <w:t xml:space="preserve">As threshold.</w:t>
      </w:r>
      <w:r>
        <w:t xml:space="preserve"> </w:t>
      </w:r>
    </w:p>
    <w:bookmarkEnd w:id="191"/>
    <w:bookmarkStart w:id="192"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2"/>
    <w:bookmarkEnd w:id="193"/>
    <w:bookmarkStart w:id="197" w:name="sec:pxl-pi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pxl-pidem</w:t>
      </w:r>
    </w:p>
    <w:bookmarkStart w:id="194" w:name="threshold-requirements-38"/>
    <w:p>
      <w:pPr>
        <w:pStyle w:val="berschrift5"/>
      </w:pPr>
      <w:r>
        <w:t xml:space="preserve">Threshold requirements:</w:t>
      </w:r>
    </w:p>
    <w:p>
      <w:pPr>
        <w:pStyle w:val="FirstParagraph"/>
      </w:pPr>
      <w:r>
        <w:t xml:space="preserve">Not required.</w:t>
      </w:r>
      <w:r>
        <w:t xml:space="preserve"> </w:t>
      </w:r>
    </w:p>
    <w:bookmarkEnd w:id="194"/>
    <w:bookmarkStart w:id="195"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72"/>
        </w:numPr>
      </w:pPr>
      <w:r>
        <w:t xml:space="preserve">Sample Type (Height)</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5"/>
    <w:bookmarkStart w:id="196"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backsca-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199" w:name="threshold-requirements-39"/>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(Gamma-Nought)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199"/>
    <w:bookmarkStart w:id="200" w:name="goal-requirements-39"/>
    <w:p>
      <w:pPr>
        <w:pStyle w:val="berschrift5"/>
      </w:pPr>
      <w:r>
        <w:t xml:space="preserve">Goal requirements:</w:t>
      </w:r>
    </w:p>
    <w:p>
      <w:pPr>
        <w:pStyle w:val="FirstParagraph"/>
      </w:pPr>
      <w:r>
        <w:t xml:space="preserve">As threshold.</w:t>
      </w:r>
      <w:r>
        <w:t xml:space="preserve"> </w:t>
      </w:r>
    </w:p>
    <w:bookmarkEnd w:id="200"/>
    <w:bookmarkStart w:id="201"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1"/>
    <w:bookmarkEnd w:id="202"/>
    <w:bookmarkStart w:id="206"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3"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3"/>
    <w:bookmarkStart w:id="204" w:name="goal-requirements-40"/>
    <w:p>
      <w:pPr>
        <w:pStyle w:val="berschrift5"/>
      </w:pPr>
      <w:r>
        <w:t xml:space="preserve">Goal requirements:</w:t>
      </w:r>
    </w:p>
    <w:p>
      <w:pPr>
        <w:pStyle w:val="FirstParagraph"/>
      </w:pPr>
      <w:r>
        <w:t xml:space="preserve">As threshold, but use of float32.</w:t>
      </w:r>
    </w:p>
    <w:bookmarkEnd w:id="204"/>
    <w:bookmarkStart w:id="205"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5"/>
    <w:bookmarkEnd w:id="206"/>
    <w:bookmarkStart w:id="210"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7"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09"/>
    <w:bookmarkEnd w:id="210"/>
    <w:bookmarkStart w:id="214"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211"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1"/>
        </w:numPr>
      </w:pPr>
      <w:r>
        <w:t xml:space="preserve">a citable peer-reviewed algorithm</w:t>
      </w:r>
    </w:p>
    <w:p>
      <w:pPr>
        <w:pStyle w:val="Compact"/>
        <w:numPr>
          <w:ilvl w:val="0"/>
          <w:numId w:val="1081"/>
        </w:numPr>
      </w:pPr>
      <w:r>
        <w:t xml:space="preserve">technical documentation regarding the algorithm used to generate the backscatter estimates is expressed as URLs or DOIs</w:t>
      </w:r>
    </w:p>
    <w:p>
      <w:pPr>
        <w:pStyle w:val="Compact"/>
        <w:numPr>
          <w:ilvl w:val="0"/>
          <w:numId w:val="1081"/>
        </w:numPr>
      </w:pPr>
      <w:r>
        <w:t xml:space="preserve">the sources of auxiliary data used to make corrections</w:t>
      </w:r>
    </w:p>
    <w:p>
      <w:pPr>
        <w:pStyle w:val="FirstParagraph"/>
      </w:pPr>
      <w:r>
        <w:t xml:space="preserve">Note:</w:t>
      </w:r>
    </w:p>
    <w:p>
      <w:pPr>
        <w:pStyle w:val="Compact"/>
        <w:numPr>
          <w:ilvl w:val="0"/>
          <w:numId w:val="1082"/>
        </w:numPr>
      </w:pPr>
      <w:r>
        <w:t xml:space="preserve">Examples of technical documentation include an Algorithm, Theoretical Basis Document, product user guide, etc.</w:t>
      </w:r>
    </w:p>
    <w:bookmarkEnd w:id="211"/>
    <w:bookmarkStart w:id="212" w:name="goal-requirements-42"/>
    <w:p>
      <w:pPr>
        <w:pStyle w:val="berschrift5"/>
      </w:pPr>
      <w:r>
        <w:t xml:space="preserve">Goal requirements:</w:t>
      </w:r>
    </w:p>
    <w:p>
      <w:pPr>
        <w:pStyle w:val="FirstParagraph"/>
      </w:pPr>
      <w:r>
        <w:t xml:space="preserve">As threshold.</w:t>
      </w:r>
      <w:r>
        <w:t xml:space="preserve"> </w:t>
      </w:r>
    </w:p>
    <w:bookmarkEnd w:id="212"/>
    <w:bookmarkStart w:id="213" w:name="assessment-42"/>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13"/>
    <w:bookmarkEnd w:id="214"/>
    <w:bookmarkStart w:id="218"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5" w:name="threshold-requirements-43"/>
    <w:p>
      <w:pPr>
        <w:pStyle w:val="berschrift5"/>
      </w:pPr>
      <w:r>
        <w:t xml:space="preserve">Threshold requirements:</w:t>
      </w:r>
    </w:p>
    <w:p>
      <w:pPr>
        <w:pStyle w:val="FirstParagraph"/>
      </w:pPr>
      <w:r>
        <w:t xml:space="preserve">Not required.</w:t>
      </w:r>
      <w:r>
        <w:t xml:space="preserve"> </w:t>
      </w:r>
    </w:p>
    <w:bookmarkEnd w:id="215"/>
    <w:bookmarkStart w:id="216"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7"/>
    <w:bookmarkEnd w:id="218"/>
    <w:bookmarkStart w:id="222" w:name="sec:rcm-flapha"/>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w:t>
      </w:r>
      <w:r>
        <w:t xml:space="preserve"> </w:t>
      </w:r>
      <w:r>
        <w:t xml:space="preserve">Alternative to GSLC product for NRB and POL products</w:t>
      </w:r>
    </w:p>
    <w:bookmarkStart w:id="219" w:name="threshold-requirements-44"/>
    <w:p>
      <w:pPr>
        <w:pStyle w:val="berschrift5"/>
      </w:pPr>
      <w:r>
        <w:t xml:space="preserve">Threshold requirements:</w:t>
      </w:r>
    </w:p>
    <w:p>
      <w:pPr>
        <w:pStyle w:val="FirstParagraph"/>
      </w:pPr>
      <w:r>
        <w:t xml:space="preserve">Not required.</w:t>
      </w:r>
      <w:r>
        <w:t xml:space="preserve"> </w:t>
      </w:r>
    </w:p>
    <w:bookmarkEnd w:id="219"/>
    <w:bookmarkStart w:id="220"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annex</w:t>
      </w:r>
      <w:r>
        <w:t xml:space="preserve"> </w:t>
      </w:r>
      <w:r>
        <w:t xml:space="preserve">“Topographic phase removal”</w:t>
      </w:r>
      <w:r>
        <w:t xml:space="preserve"> </w:t>
      </w:r>
      <w:r>
        <w:t xml:space="preserve">in the applicable PFS).</w:t>
      </w:r>
      <w:r>
        <w:t xml:space="preserve"> </w:t>
      </w:r>
      <w:r>
        <w:t xml:space="preserve">The use of the Flattened Phase with the NRB or POL intensity (</w:t>
      </w:r>
      <w:hyperlink w:anchor="sec:rcm">
        <w:r>
          <w:rPr>
            <w:rStyle w:val="Hyperlink"/>
          </w:rPr>
          <w:t xml:space="preserve">Radiometrically Corrected Measurements</w:t>
        </w:r>
      </w:hyperlink>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5"/>
        </w:numPr>
      </w:pPr>
      <w:r>
        <w:t xml:space="preserve">Measurement Type (Flattened Phase)</w:t>
      </w:r>
    </w:p>
    <w:p>
      <w:pPr>
        <w:pStyle w:val="Compact"/>
        <w:numPr>
          <w:ilvl w:val="0"/>
          <w:numId w:val="1085"/>
        </w:numPr>
      </w:pPr>
      <w:r>
        <w:t xml:space="preserve">Reference Polarization (HH/HV/VV/VH)</w:t>
      </w:r>
    </w:p>
    <w:p>
      <w:pPr>
        <w:pStyle w:val="Compact"/>
        <w:numPr>
          <w:ilvl w:val="0"/>
          <w:numId w:val="1085"/>
        </w:numPr>
      </w:pPr>
      <w:r>
        <w:t xml:space="preserve">Data Format (GeoTIFF, HDF5, NetCDF, …)</w:t>
      </w:r>
    </w:p>
    <w:p>
      <w:pPr>
        <w:pStyle w:val="Compact"/>
        <w:numPr>
          <w:ilvl w:val="0"/>
          <w:numId w:val="1085"/>
        </w:numPr>
      </w:pPr>
      <w:r>
        <w:t xml:space="preserve">Data Type (Int, Float, …)</w:t>
      </w:r>
    </w:p>
    <w:p>
      <w:pPr>
        <w:pStyle w:val="Compact"/>
        <w:numPr>
          <w:ilvl w:val="0"/>
          <w:numId w:val="1085"/>
        </w:numPr>
      </w:pPr>
      <w:r>
        <w:t xml:space="preserve">Bits per Sample</w:t>
      </w:r>
    </w:p>
    <w:p>
      <w:pPr>
        <w:pStyle w:val="Compact"/>
        <w:numPr>
          <w:ilvl w:val="0"/>
          <w:numId w:val="1085"/>
        </w:numPr>
      </w:pPr>
      <w:r>
        <w:t xml:space="preserve">Byte Order</w:t>
      </w:r>
    </w:p>
    <w:p>
      <w:pPr>
        <w:pStyle w:val="FirstParagraph"/>
      </w:pPr>
      <w:r>
        <w:t xml:space="preserve">In case of polarimetric data, indicate the reference polarization.</w:t>
      </w:r>
    </w:p>
    <w:bookmarkEnd w:id="220"/>
    <w:bookmarkStart w:id="221" w:name="assessment-44"/>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Metadata references, e.g.:</w:t>
      </w:r>
    </w:p>
    <w:p>
      <w:pPr>
        <w:pStyle w:val="Compact"/>
        <w:numPr>
          <w:ilvl w:val="0"/>
          <w:numId w:val="1087"/>
        </w:numPr>
      </w:pPr>
      <w:r>
        <w:t xml:space="preserve">A metadata citable peer-reviewed algorithm</w:t>
      </w:r>
    </w:p>
    <w:p>
      <w:pPr>
        <w:pStyle w:val="Compact"/>
        <w:numPr>
          <w:ilvl w:val="0"/>
          <w:numId w:val="1087"/>
        </w:numPr>
      </w:pPr>
      <w:r>
        <w:t xml:space="preserve">Technical documentation regarding the implementation of that algorithm expressed as URLs or DOIs</w:t>
      </w:r>
    </w:p>
    <w:p>
      <w:pPr>
        <w:pStyle w:val="Compact"/>
        <w:numPr>
          <w:ilvl w:val="0"/>
          <w:numId w:val="1087"/>
        </w:numPr>
      </w:pPr>
      <w:r>
        <w:t xml:space="preserve">The sources of auxiliary data used to make corrections</w:t>
      </w:r>
    </w:p>
    <w:p>
      <w:pPr>
        <w:pStyle w:val="Compact"/>
        <w:numPr>
          <w:ilvl w:val="0"/>
          <w:numId w:val="1087"/>
        </w:numPr>
      </w:pPr>
      <w:r>
        <w:t xml:space="preserve">Resampling method used for geometric processing of the source data</w:t>
      </w:r>
    </w:p>
    <w:p>
      <w:pPr>
        <w:pStyle w:val="FirstParagraph"/>
      </w:pPr>
      <w:r>
        <w:t xml:space="preserve">Note:</w:t>
      </w:r>
    </w:p>
    <w:p>
      <w:pPr>
        <w:pStyle w:val="Compact"/>
        <w:numPr>
          <w:ilvl w:val="0"/>
          <w:numId w:val="1088"/>
        </w:numPr>
      </w:pPr>
      <w:r>
        <w:t xml:space="preserve">Examples of technical documentation can include e.g., an Algorithm Theoretical Basis Document (ATBD), or a product user guide.</w:t>
      </w:r>
    </w:p>
    <w:bookmarkEnd w:id="225"/>
    <w:bookmarkStart w:id="226" w:name="assessment-45"/>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26"/>
    <w:bookmarkEnd w:id="227"/>
    <w:bookmarkStart w:id="23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8" w:name="threshold-requirements-46"/>
    <w:p>
      <w:pPr>
        <w:pStyle w:val="berschrift5"/>
      </w:pPr>
      <w:r>
        <w:t xml:space="preserve">Threshold requirements:</w:t>
      </w:r>
    </w:p>
    <w:p>
      <w:pPr>
        <w:pStyle w:val="Compact"/>
        <w:numPr>
          <w:ilvl w:val="0"/>
          <w:numId w:val="1090"/>
        </w:numPr>
      </w:pPr>
      <w:r>
        <w:t xml:space="preserve">During ortho-rectification, the data provider shall use the same DEM that was used for the radiometric terrain flattening to ensure consistency of the data stack.</w:t>
      </w:r>
    </w:p>
    <w:p>
      <w:pPr>
        <w:pStyle w:val="Compact"/>
        <w:numPr>
          <w:ilvl w:val="0"/>
          <w:numId w:val="1090"/>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90"/>
        </w:numPr>
      </w:pPr>
      <w:r>
        <w:t xml:space="preserve">Provide reference to Earth Gravitational Model (EGM) if used for geometric correction. For mosaic or composite products, specify the EGM used for each input data source, if different.</w:t>
      </w:r>
    </w:p>
    <w:bookmarkEnd w:id="228"/>
    <w:bookmarkStart w:id="229" w:name="goal-requirements-46"/>
    <w:p>
      <w:pPr>
        <w:pStyle w:val="berschrift5"/>
      </w:pPr>
      <w:r>
        <w:t xml:space="preserve">Goal requirements:</w:t>
      </w:r>
    </w:p>
    <w:p>
      <w:pPr>
        <w:pStyle w:val="Compact"/>
        <w:numPr>
          <w:ilvl w:val="0"/>
          <w:numId w:val="1091"/>
        </w:numPr>
      </w:pPr>
      <w:r>
        <w:t xml:space="preserve">A DEM with comparable or better resolution to the resolution of the output CEOS-ARD product shall be used if available. Else, the upsampled DEM is identified.</w:t>
      </w:r>
    </w:p>
    <w:p>
      <w:pPr>
        <w:pStyle w:val="Compact"/>
        <w:numPr>
          <w:ilvl w:val="0"/>
          <w:numId w:val="1091"/>
        </w:numPr>
      </w:pPr>
      <w:r>
        <w:t xml:space="preserve">Resampling method used for preparation of the DEM.</w:t>
      </w:r>
    </w:p>
    <w:p>
      <w:pPr>
        <w:pStyle w:val="Compact"/>
        <w:numPr>
          <w:ilvl w:val="0"/>
          <w:numId w:val="1091"/>
        </w:numPr>
      </w:pPr>
      <w:r>
        <w:t xml:space="preserve">Method used for resampling the EGM.</w:t>
      </w:r>
    </w:p>
    <w:bookmarkEnd w:id="229"/>
    <w:bookmarkStart w:id="230"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0"/>
    <w:bookmarkEnd w:id="231"/>
    <w:bookmarkStart w:id="23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2"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3"/>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3"/>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3"/>
        </w:numPr>
      </w:pPr>
      <w:r>
        <w:t xml:space="preserve">For new SAR missions, as long as calibration/validation reports are not available, values can be set to NaN and provide a DOI or URL link to pre-launch mission specification document.</w:t>
      </w:r>
    </w:p>
    <w:bookmarkEnd w:id="232"/>
    <w:bookmarkStart w:id="233"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7"/>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34"/>
    <w:bookmarkEnd w:id="235"/>
    <w:bookmarkStart w:id="23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6" w:name="threshold-requirements-48"/>
    <w:p>
      <w:pPr>
        <w:pStyle w:val="berschrift5"/>
      </w:pPr>
      <w:r>
        <w:t xml:space="preserve">Threshold requirements:</w:t>
      </w:r>
    </w:p>
    <w:p>
      <w:pPr>
        <w:pStyle w:val="FirstParagraph"/>
      </w:pPr>
      <w:r>
        <w:t xml:space="preserve">Not required.</w:t>
      </w:r>
      <w:r>
        <w:t xml:space="preserve"> </w:t>
      </w:r>
    </w:p>
    <w:bookmarkEnd w:id="236"/>
    <w:bookmarkStart w:id="237" w:name="goal-requirements-4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7"/>
    <w:bookmarkStart w:id="238"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8"/>
    <w:bookmarkEnd w:id="239"/>
    <w:bookmarkStart w:id="24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0"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6"/>
        </w:numPr>
      </w:pPr>
      <w:r>
        <w:t xml:space="preserve">If a product hierarchy of resolutions exists (or is planned), the multiple resolutions should nest within each other (e.g., 12.5m, 25m, 50m, 100m, etc.), and not be disjoint.</w:t>
      </w:r>
    </w:p>
    <w:bookmarkEnd w:id="240"/>
    <w:bookmarkStart w:id="241"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49"/>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8"/>
        </w:numPr>
      </w:pPr>
      <w:r>
        <w:t xml:space="preserve">that product has been assessed as meeting CEOS-ARD requirements by the agency responsible for production and distribution of the product, and</w:t>
      </w:r>
    </w:p>
    <w:p>
      <w:pPr>
        <w:pStyle w:val="Compact"/>
        <w:numPr>
          <w:ilvl w:val="0"/>
          <w:numId w:val="109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6"/>
    <w:bookmarkStart w:id="25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7"/>
    <w:bookmarkEnd w:id="258"/>
    <w:bookmarkStart w:id="274" w:name="references"/>
    <w:p>
      <w:pPr>
        <w:pStyle w:val="berschrift2"/>
      </w:pPr>
      <w:r>
        <w:t xml:space="preserve">References</w:t>
      </w:r>
    </w:p>
    <w:bookmarkStart w:id="273" w:name="refs"/>
    <w:bookmarkStart w:id="26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9">
        <w:r>
          <w:rPr>
            <w:rStyle w:val="Hyperlink"/>
          </w:rPr>
          <w:t xml:space="preserve">https://doi.org/10.5281/zenodo.17801666</w:t>
        </w:r>
      </w:hyperlink>
      <w:r>
        <w:t xml:space="preserve">.</w:t>
      </w:r>
    </w:p>
    <w:bookmarkEnd w:id="260"/>
    <w:bookmarkStart w:id="261"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1"/>
    <w:bookmarkStart w:id="262"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9">
        <w:r>
          <w:rPr>
            <w:rStyle w:val="Hyperlink"/>
          </w:rPr>
          <w:t xml:space="preserve">https://doi.org/10.1109/LGRS.2017.2753580</w:t>
        </w:r>
      </w:hyperlink>
      <w:r>
        <w:t xml:space="preserve">.</w:t>
      </w:r>
    </w:p>
    <w:bookmarkEnd w:id="270"/>
    <w:bookmarkStart w:id="272"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1">
        <w:r>
          <w:rPr>
            <w:rStyle w:val="Hyperlink"/>
          </w:rPr>
          <w:t xml:space="preserve">https://doi.org/10.1109/TGRS.2010.2051333</w:t>
        </w:r>
      </w:hyperlink>
      <w:r>
        <w:t xml:space="preserve">.</w:t>
      </w:r>
    </w:p>
    <w:bookmarkEnd w:id="272"/>
    <w:bookmarkEnd w:id="273"/>
    <w:p>
      <w:r>
        <w:br w:type="page"/>
      </w:r>
    </w:p>
    <w:bookmarkEnd w:id="274"/>
    <w:bookmarkStart w:id="277" w:name="annex"/>
    <w:p>
      <w:pPr>
        <w:pStyle w:val="berschrift2"/>
      </w:pPr>
      <w:r>
        <w:t xml:space="preserve">Annex</w:t>
      </w:r>
    </w:p>
    <w:bookmarkStart w:id="276"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9"/>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9"/>
        </w:numPr>
      </w:pPr>
      <w:r>
        <w:t xml:space="preserve">Apply instrument calibration to produce Beta-Nought values with high fidelity.</w:t>
      </w:r>
    </w:p>
    <w:p>
      <w:pPr>
        <w:pStyle w:val="Compact"/>
        <w:numPr>
          <w:ilvl w:val="0"/>
          <w:numId w:val="1099"/>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9"/>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9"/>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9"/>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9"/>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9"/>
        </w:numPr>
      </w:pPr>
      <w:r>
        <w:t xml:space="preserve">Generate CEOS format metadata to accompany product layers.</w:t>
      </w:r>
    </w:p>
    <w:p>
      <w:pPr>
        <w:pStyle w:val="Compact"/>
        <w:numPr>
          <w:ilvl w:val="0"/>
          <w:numId w:val="1099"/>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5"/>
    <w:bookmarkEnd w:id="276"/>
    <w:bookmarkEnd w:id="277"/>
    <w:bookmarkEnd w:id="278"/>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9"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1" Target="https://doi.org/10.1109/TGRS.2010.2051333"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5.6.0-draft</dc:title>
  <dc:creator/>
  <dc:language>en</dc:language>
  <cp:keywords/>
  <dcterms:created xsi:type="dcterms:W3CDTF">2026-09-15T19:01:37Z</dcterms:created>
  <dcterms:modified xsi:type="dcterms:W3CDTF">2026-09-15T19:01:37Z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