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03.png" ContentType="image/png"/>
  <Override PartName="/word/media/rId299.png" ContentType="image/png"/>
  <Override PartName="/word/media/rId307.png" ContentType="image/png"/>
  <Override PartName="/word/media/rId319.png" ContentType="image/png"/>
  <Override PartName="/word/media/rId311.png" ContentType="image/png"/>
  <Override PartName="/word/media/rId3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5" w:name="X405d8e65832ac294d4126c2e16ac6a514f2a68e"/>
    <w:p>
      <w:pPr>
        <w:pStyle w:val="berschrift1"/>
      </w:pPr>
      <w:r>
        <w:t xml:space="preserve">CEOS-ARD - Synthetic Aperture Radar - Ocean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4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Equivalent Number of Looks (ENL)</w:t>
      </w:r>
    </w:p>
    <w:bookmarkEnd w:id="120"/>
    <w:bookmarkStart w:id="121"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1"/>
    <w:bookmarkEnd w:id="122"/>
    <w:bookmarkStart w:id="126"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rd.metadata-speckle-filtering"/>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w:t>
      </w:r>
    </w:p>
    <w:bookmarkStart w:id="127"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9"/>
    <w:bookmarkEnd w:id="130"/>
    <w:bookmarkStart w:id="134"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1"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3"/>
    <w:bookmarkEnd w:id="134"/>
    <w:bookmarkStart w:id="138"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5"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7"/>
    <w:bookmarkEnd w:id="138"/>
    <w:bookmarkStart w:id="142"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9"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1"/>
    <w:bookmarkEnd w:id="142"/>
    <w:bookmarkStart w:id="146"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3"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5"/>
    <w:bookmarkEnd w:id="146"/>
    <w:bookmarkStart w:id="150"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7"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9"/>
    <w:bookmarkEnd w:id="150"/>
    <w:bookmarkStart w:id="155" w:name="X5bb9b2ac09c5664ba4efd86865f81b1ca41ca20"/>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prd.metadata-look-direction-polynomials</w:t>
      </w:r>
    </w:p>
    <w:bookmarkStart w:id="152"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per-pixel-look-direction">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1"/>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6"/>
        </w:numPr>
      </w:pPr>
      <m:oMath>
        <m:sSub>
          <m:e>
            <m:r>
              <m:t>a</m:t>
            </m:r>
          </m:e>
          <m:sub>
            <m:r>
              <m:t>i</m:t>
            </m:r>
          </m:sub>
        </m:sSub>
      </m:oMath>
      <w:r>
        <w:t xml:space="preserve"> </w:t>
      </w:r>
      <w:r>
        <w:t xml:space="preserve">= polynomial coefficients</w:t>
      </w:r>
    </w:p>
    <w:p>
      <w:pPr>
        <w:pStyle w:val="Compact"/>
        <w:numPr>
          <w:ilvl w:val="0"/>
          <w:numId w:val="1046"/>
        </w:numPr>
      </w:pPr>
      <m:oMath>
        <m:r>
          <m:rPr>
            <m:nor/>
            <m:sty m:val="p"/>
          </m:rPr>
          <m:t>Lat</m:t>
        </m:r>
      </m:oMath>
      <w:r>
        <w:t xml:space="preserve"> </w:t>
      </w:r>
      <w:r>
        <w:t xml:space="preserve">= latitude</w:t>
      </w:r>
      <w:r>
        <w:br/>
      </w:r>
    </w:p>
    <w:p>
      <w:pPr>
        <w:pStyle w:val="Compact"/>
        <w:numPr>
          <w:ilvl w:val="0"/>
          <w:numId w:val="1046"/>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2"/>
    <w:bookmarkStart w:id="153" w:name="goal-requirements-29"/>
    <w:p>
      <w:pPr>
        <w:pStyle w:val="berschrift5"/>
      </w:pPr>
      <w:r>
        <w:t xml:space="preserve">Goal requirements:</w:t>
      </w:r>
    </w:p>
    <w:p>
      <w:pPr>
        <w:pStyle w:val="FirstParagraph"/>
      </w:pPr>
      <w:r>
        <w:t xml:space="preserve">As threshold.</w:t>
      </w:r>
      <w:r>
        <w:t xml:space="preserve"> </w:t>
      </w:r>
    </w:p>
    <w:bookmarkEnd w:id="153"/>
    <w:bookmarkStart w:id="154"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9"/>
    <w:bookmarkEnd w:id="160"/>
    <w:bookmarkStart w:id="164"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7"/>
    <w:bookmarkEnd w:id="168"/>
    <w:bookmarkStart w:id="172"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0"/>
    <w:bookmarkStart w:id="171"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1"/>
    <w:bookmarkEnd w:id="172"/>
    <w:bookmarkStart w:id="176"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5"/>
    <w:bookmarkEnd w:id="176"/>
    <w:bookmarkStart w:id="180"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Notes:</w:t>
      </w:r>
    </w:p>
    <w:p>
      <w:pPr>
        <w:pStyle w:val="Compact"/>
        <w:numPr>
          <w:ilvl w:val="0"/>
          <w:numId w:val="1060"/>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2"/>
    <w:bookmarkStart w:id="183"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xl.per-pixel-acquisition-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5"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5"/>
    <w:bookmarkStart w:id="186" w:name="goal-requirements-37"/>
    <w:p>
      <w:pPr>
        <w:pStyle w:val="berschrift5"/>
      </w:pPr>
      <w:r>
        <w:t xml:space="preserve">Goal requirements:</w:t>
      </w:r>
    </w:p>
    <w:p>
      <w:pPr>
        <w:pStyle w:val="FirstParagraph"/>
      </w:pPr>
      <w:r>
        <w:t xml:space="preserve">In case of image composites, the sources for each pixel are uniquely identified.</w:t>
      </w:r>
    </w:p>
    <w:bookmarkEnd w:id="186"/>
    <w:bookmarkStart w:id="187"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7"/>
    <w:bookmarkEnd w:id="188"/>
    <w:bookmarkStart w:id="192" w:name="sec:pxl.per-pixel-geoi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pxl.per-pixel-geoid</w:t>
      </w:r>
    </w:p>
    <w:bookmarkStart w:id="189" w:name="threshold-requirements-38"/>
    <w:p>
      <w:pPr>
        <w:pStyle w:val="berschrift5"/>
      </w:pPr>
      <w:r>
        <w:t xml:space="preserve">Threshold requirements:</w:t>
      </w:r>
    </w:p>
    <w:p>
      <w:pPr>
        <w:pStyle w:val="FirstParagraph"/>
      </w:pPr>
      <w:r>
        <w:t xml:space="preserve">Not required.</w:t>
      </w:r>
      <w:r>
        <w:t xml:space="preserve"> </w:t>
      </w:r>
    </w:p>
    <w:bookmarkEnd w:id="189"/>
    <w:bookmarkStart w:id="190"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p>
      <w:pPr>
        <w:pStyle w:val="Compact"/>
        <w:numPr>
          <w:ilvl w:val="0"/>
          <w:numId w:val="1066"/>
        </w:numPr>
      </w:pPr>
      <w:r>
        <w:t xml:space="preserve">Ground Sampling Distance</w:t>
      </w:r>
    </w:p>
    <w:bookmarkEnd w:id="190"/>
    <w:bookmarkStart w:id="191"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1"/>
    <w:bookmarkEnd w:id="192"/>
    <w:bookmarkStart w:id="196" w:name="sec:pxl.per-pixel-look-direction"/>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pxl.per-pixel-look-direction</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8"/>
        </w:numPr>
      </w:pPr>
      <w:r>
        <w:t xml:space="preserve">Sample Type (Angle)</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4"/>
    <w:bookmarkStart w:id="195"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5"/>
    <w:bookmarkEnd w:id="196"/>
    <w:bookmarkEnd w:id="197"/>
    <w:bookmarkStart w:id="222"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1"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0"/>
    <w:bookmarkEnd w:id="201"/>
    <w:bookmarkStart w:id="205" w:name="sec:rcm.measurements-backscatter-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rcm.measurements-backscatter-orb</w:t>
      </w:r>
    </w:p>
    <w:bookmarkStart w:id="202"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(Sigma-Nought)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Backscatter Conversion Equation</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Notes:</w:t>
      </w:r>
    </w:p>
    <w:p>
      <w:pPr>
        <w:pStyle w:val="Compact"/>
        <w:numPr>
          <w:ilvl w:val="0"/>
          <w:numId w:val="1072"/>
        </w:numPr>
      </w:pPr>
      <w:r>
        <w:t xml:space="preserve">Transformation to the logarithm decibel scale is not required or desired as this step can be easily completed by the user if necessary.</w:t>
      </w:r>
    </w:p>
    <w:bookmarkEnd w:id="202"/>
    <w:bookmarkStart w:id="203"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X96f5cf0495ba802547027bd915355aff9549cc2"/>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14" w:name="threshold-requirements-44"/>
    <w:p>
      <w:pPr>
        <w:pStyle w:val="berschrift5"/>
      </w:pPr>
      <w:r>
        <w:t xml:space="preserve">Threshold requirements:</w:t>
      </w:r>
    </w:p>
    <w:p>
      <w:pPr>
        <w:pStyle w:val="FirstParagraph"/>
      </w:pPr>
      <w:r>
        <w:t xml:space="preserve">Not required.</w:t>
      </w:r>
      <w:r>
        <w:t xml:space="preserve"> </w:t>
      </w:r>
    </w:p>
    <w:bookmarkEnd w:id="214"/>
    <w:bookmarkStart w:id="215"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5"/>
    <w:bookmarkStart w:id="216"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6"/>
    <w:bookmarkEnd w:id="217"/>
    <w:bookmarkStart w:id="221" w:name="Xe7416a1bd9181b13a2203854607f95297614c4a"/>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rcm.measurements-mean-wind-normalised-backscatter</w:t>
      </w:r>
    </w:p>
    <w:p>
      <w:pPr>
        <w:pStyle w:val="Textkrper"/>
      </w:pPr>
      <w:r>
        <w:rPr>
          <w:b/>
          <w:bCs/>
        </w:rPr>
        <w:t xml:space="preserve">Usage:</w:t>
      </w:r>
      <w:r>
        <w:t xml:space="preserve"> </w:t>
      </w:r>
      <w:r>
        <w:t xml:space="preserve">Only for Maritime scenes.</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8"/>
        </w:numPr>
      </w:pPr>
      <w:r>
        <w:t xml:space="preserve">Measurement Type (Wind-Normalised Backscatter)</w:t>
      </w:r>
    </w:p>
    <w:p>
      <w:pPr>
        <w:pStyle w:val="Compact"/>
        <w:numPr>
          <w:ilvl w:val="0"/>
          <w:numId w:val="1078"/>
        </w:numPr>
      </w:pPr>
      <w:r>
        <w:t xml:space="preserve">Backscatter Expression Convention (intensity ratio)</w:t>
      </w:r>
    </w:p>
    <w:p>
      <w:pPr>
        <w:pStyle w:val="Compact"/>
        <w:numPr>
          <w:ilvl w:val="0"/>
          <w:numId w:val="1078"/>
        </w:numPr>
      </w:pPr>
      <w:r>
        <w:t xml:space="preserve">Polarization (HH, HV, VV, VH)</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p>
      <w:pPr>
        <w:pStyle w:val="FirstParagraph"/>
      </w:pPr>
      <w:r>
        <w:t xml:space="preserve">Notes:</w:t>
      </w:r>
    </w:p>
    <w:p>
      <w:pPr>
        <w:pStyle w:val="Compact"/>
        <w:numPr>
          <w:ilvl w:val="0"/>
          <w:numId w:val="1079"/>
        </w:numPr>
      </w:pPr>
      <w:r>
        <w:t xml:space="preserve">Reference wind model, wind speed and direction used for reference backscattering coefficient should be provided.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bookmarkEnd w:id="220"/>
    <w:bookmarkEnd w:id="221"/>
    <w:bookmarkEnd w:id="222"/>
    <w:bookmarkStart w:id="243"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6"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23" w:name="threshold-requirements-46"/>
    <w:p>
      <w:pPr>
        <w:pStyle w:val="berschrift5"/>
      </w:pPr>
      <w:r>
        <w:t xml:space="preserve">Threshold requirements:</w:t>
      </w:r>
    </w:p>
    <w:p>
      <w:pPr>
        <w:pStyle w:val="FirstParagraph"/>
      </w:pPr>
      <w:r>
        <w:t xml:space="preserve">Not required.</w:t>
      </w:r>
      <w:r>
        <w:t xml:space="preserve"> </w:t>
      </w:r>
    </w:p>
    <w:bookmarkEnd w:id="223"/>
    <w:bookmarkStart w:id="224" w:name="goal-requirements-46"/>
    <w:p>
      <w:pPr>
        <w:pStyle w:val="berschrift5"/>
      </w:pPr>
      <w:r>
        <w:t xml:space="preserve">Goal requirements:</w:t>
      </w:r>
    </w:p>
    <w:p>
      <w:pPr>
        <w:pStyle w:val="FirstParagraph"/>
      </w:pPr>
      <w:r>
        <w:t xml:space="preserve">Metadata references, e.g.:</w:t>
      </w:r>
    </w:p>
    <w:p>
      <w:pPr>
        <w:pStyle w:val="Compact"/>
        <w:numPr>
          <w:ilvl w:val="0"/>
          <w:numId w:val="1081"/>
        </w:numPr>
      </w:pPr>
      <w:r>
        <w:t xml:space="preserve">A metadata citable peer-reviewed algorithm</w:t>
      </w:r>
    </w:p>
    <w:p>
      <w:pPr>
        <w:pStyle w:val="Compact"/>
        <w:numPr>
          <w:ilvl w:val="0"/>
          <w:numId w:val="1081"/>
        </w:numPr>
      </w:pPr>
      <w:r>
        <w:t xml:space="preserve">Technical documentation regarding the implementation of that algorithm expressed as URLs or DOIs</w:t>
      </w:r>
    </w:p>
    <w:p>
      <w:pPr>
        <w:pStyle w:val="Compact"/>
        <w:numPr>
          <w:ilvl w:val="0"/>
          <w:numId w:val="1081"/>
        </w:numPr>
      </w:pPr>
      <w:r>
        <w:t xml:space="preserve">The sources of auxiliary data used to make corrections</w:t>
      </w:r>
    </w:p>
    <w:p>
      <w:pPr>
        <w:pStyle w:val="Compact"/>
        <w:numPr>
          <w:ilvl w:val="0"/>
          <w:numId w:val="1081"/>
        </w:numPr>
      </w:pPr>
      <w:r>
        <w:t xml:space="preserve">Resampling method used for geometric processing of the source data</w:t>
      </w:r>
    </w:p>
    <w:p>
      <w:pPr>
        <w:pStyle w:val="FirstParagraph"/>
      </w:pPr>
      <w:r>
        <w:t xml:space="preserve">Notes:</w:t>
      </w:r>
    </w:p>
    <w:p>
      <w:pPr>
        <w:pStyle w:val="Compact"/>
        <w:numPr>
          <w:ilvl w:val="0"/>
          <w:numId w:val="1082"/>
        </w:numPr>
      </w:pPr>
      <w:r>
        <w:t xml:space="preserve">Examples of technical documentation can include e.g., an Algorithm Theoretical Basis Document (ATBD) or a product user guide.</w:t>
      </w:r>
    </w:p>
    <w:bookmarkEnd w:id="224"/>
    <w:bookmarkStart w:id="225" w:name="assessment-46"/>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25"/>
    <w:bookmarkEnd w:id="226"/>
    <w:bookmarkStart w:id="230"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27" w:name="threshold-requirements-47"/>
    <w:p>
      <w:pPr>
        <w:pStyle w:val="berschrift5"/>
      </w:pPr>
      <w:r>
        <w:t xml:space="preserve">Threshold requirements:</w:t>
      </w:r>
    </w:p>
    <w:p>
      <w:pPr>
        <w:pStyle w:val="Compact"/>
        <w:numPr>
          <w:ilvl w:val="0"/>
          <w:numId w:val="1084"/>
        </w:numPr>
      </w:pPr>
      <w:r>
        <w:t xml:space="preserve">During ortho-rectification, the data provider shall use the same DEM that was used for the radiometric terrain flattening to ensure consistency of the data stack.</w:t>
      </w:r>
    </w:p>
    <w:p>
      <w:pPr>
        <w:pStyle w:val="Compact"/>
        <w:numPr>
          <w:ilvl w:val="0"/>
          <w:numId w:val="1084"/>
        </w:numPr>
      </w:pPr>
      <w:r>
        <w:t xml:space="preserve">Provide reference to Digital Elevation Model used for geometric terrain correction.</w:t>
      </w:r>
    </w:p>
    <w:p>
      <w:pPr>
        <w:pStyle w:val="Compact"/>
        <w:numPr>
          <w:ilvl w:val="0"/>
          <w:numId w:val="1084"/>
        </w:numPr>
      </w:pPr>
      <w:r>
        <w:t xml:space="preserve">Provide reference to Earth Gravitational Model (EGM) used for geometric correction.</w:t>
      </w:r>
    </w:p>
    <w:bookmarkEnd w:id="227"/>
    <w:bookmarkStart w:id="228" w:name="goal-requirements-47"/>
    <w:p>
      <w:pPr>
        <w:pStyle w:val="berschrift5"/>
      </w:pPr>
      <w:r>
        <w:t xml:space="preserve">Goal requirements:</w:t>
      </w:r>
    </w:p>
    <w:p>
      <w:pPr>
        <w:pStyle w:val="Compact"/>
        <w:numPr>
          <w:ilvl w:val="0"/>
          <w:numId w:val="1085"/>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5"/>
        </w:numPr>
      </w:pPr>
      <w:r>
        <w:t xml:space="preserve">Resampling method used for preparation of the DEM.</w:t>
      </w:r>
    </w:p>
    <w:p>
      <w:pPr>
        <w:pStyle w:val="Compact"/>
        <w:numPr>
          <w:ilvl w:val="0"/>
          <w:numId w:val="1085"/>
        </w:numPr>
      </w:pPr>
      <w:r>
        <w:t xml:space="preserve">Method used for resampling the EGM.</w:t>
      </w:r>
    </w:p>
    <w:bookmarkEnd w:id="228"/>
    <w:bookmarkStart w:id="229" w:name="assessment-47"/>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29"/>
    <w:bookmarkEnd w:id="230"/>
    <w:bookmarkStart w:id="234"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31"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7"/>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7"/>
        </w:numPr>
      </w:pPr>
      <w:r>
        <w:t xml:space="preserve">The ALE is not typically assessed for every processed image, but through an ALE assessment by the data processing team characterizing all or (usually a subset) of the generated products.</w:t>
      </w:r>
    </w:p>
    <w:bookmarkEnd w:id="231"/>
    <w:bookmarkStart w:id="232"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5" w:name="threshold-requirements-49"/>
    <w:p>
      <w:pPr>
        <w:pStyle w:val="berschrift5"/>
      </w:pPr>
      <w:r>
        <w:t xml:space="preserve">Threshold requirements:</w:t>
      </w:r>
    </w:p>
    <w:p>
      <w:pPr>
        <w:pStyle w:val="FirstParagraph"/>
      </w:pPr>
      <w:r>
        <w:t xml:space="preserve">Not required.</w:t>
      </w:r>
      <w:r>
        <w:t xml:space="preserve"> </w:t>
      </w:r>
    </w:p>
    <w:bookmarkEnd w:id="235"/>
    <w:bookmarkStart w:id="236" w:name="goal-requirements-49"/>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6"/>
    <w:bookmarkStart w:id="237" w:name="assessment-49"/>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7"/>
    <w:bookmarkEnd w:id="238"/>
    <w:bookmarkStart w:id="242"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39"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0"/>
        </w:numPr>
      </w:pPr>
      <w:r>
        <w:t xml:space="preserve">If a product hierarchy of resolutions exists (or is planned), the multiple resolutions should nest within each other (e.g., 12.5m, 25m, 50m, 100m, etc.), and not be disjoint.</w:t>
      </w:r>
    </w:p>
    <w:bookmarkEnd w:id="239"/>
    <w:bookmarkStart w:id="240"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br w:type="page"/>
      </w:r>
    </w:p>
    <w:bookmarkEnd w:id="241"/>
    <w:bookmarkEnd w:id="242"/>
    <w:bookmarkEnd w:id="243"/>
    <w:bookmarkEnd w:id="244"/>
    <w:bookmarkStart w:id="251" w:name="summary-self-assessment-table"/>
    <w:p>
      <w:pPr>
        <w:pStyle w:val="berschrift2"/>
      </w:pPr>
      <w:r>
        <w:t xml:space="preserve">Summary Self-Assessment Table</w:t>
      </w:r>
    </w:p>
    <w:bookmarkStart w:id="245"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5"/>
    <w:bookmarkStart w:id="246"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6"/>
    <w:bookmarkStart w:id="247"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prd.metadata-look-direction-polynomials</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47"/>
    <w:bookmarkStart w:id="24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pxl.per-pixel-look-direction</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8"/>
    <w:bookmarkStart w:id="249"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rcm.measurements-mean-wind-normalised-backscatter</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49"/>
    <w:bookmarkStart w:id="250"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50"/>
    <w:bookmarkEnd w:id="251"/>
    <w:bookmarkStart w:id="25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2"/>
    <w:bookmarkStart w:id="25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2"/>
        </w:numPr>
      </w:pPr>
      <w:r>
        <w:t xml:space="preserve">that product has been assessed as meeting CEOS-ARD requirements by the agency responsible for production and distribution of the product, and</w:t>
      </w:r>
    </w:p>
    <w:p>
      <w:pPr>
        <w:pStyle w:val="Compact"/>
        <w:numPr>
          <w:ilvl w:val="0"/>
          <w:numId w:val="1092"/>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4"/>
    <w:bookmarkStart w:id="25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5"/>
    <w:bookmarkEnd w:id="256"/>
    <w:bookmarkStart w:id="277" w:name="references"/>
    <w:p>
      <w:pPr>
        <w:pStyle w:val="berschrift2"/>
      </w:pPr>
      <w:r>
        <w:t xml:space="preserve">References</w:t>
      </w:r>
    </w:p>
    <w:bookmarkStart w:id="276" w:name="refs"/>
    <w:bookmarkStart w:id="25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57"/>
    <w:bookmarkStart w:id="259"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58">
        <w:r>
          <w:rPr>
            <w:rStyle w:val="Hyperlink"/>
          </w:rPr>
          <w:t xml:space="preserve">https://doi.org/10.1109/TGRS.2008.2002881</w:t>
        </w:r>
      </w:hyperlink>
      <w:r>
        <w:t xml:space="preserve">.</w:t>
      </w:r>
    </w:p>
    <w:bookmarkEnd w:id="259"/>
    <w:bookmarkStart w:id="261"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0">
        <w:r>
          <w:rPr>
            <w:rStyle w:val="Hyperlink"/>
          </w:rPr>
          <w:t xml:space="preserve">https://doi.org/10.1029/2011JE003986</w:t>
        </w:r>
      </w:hyperlink>
      <w:r>
        <w:t xml:space="preserve">.</w:t>
      </w:r>
    </w:p>
    <w:bookmarkEnd w:id="261"/>
    <w:bookmarkStart w:id="263"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2">
        <w:r>
          <w:rPr>
            <w:rStyle w:val="Hyperlink"/>
          </w:rPr>
          <w:t xml:space="preserve">https://doi.org/10.1109/TGRS.2022.3147472</w:t>
        </w:r>
      </w:hyperlink>
      <w:r>
        <w:t xml:space="preserve">.</w:t>
      </w:r>
    </w:p>
    <w:bookmarkEnd w:id="263"/>
    <w:bookmarkStart w:id="265"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4">
        <w:r>
          <w:rPr>
            <w:rStyle w:val="Hyperlink"/>
          </w:rPr>
          <w:t xml:space="preserve">https://doi.org/10.1109/TGRS.2011.2120616</w:t>
        </w:r>
      </w:hyperlink>
      <w:r>
        <w:t xml:space="preserve">.</w:t>
      </w:r>
    </w:p>
    <w:bookmarkEnd w:id="265"/>
    <w:bookmarkStart w:id="267"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6">
        <w:r>
          <w:rPr>
            <w:rStyle w:val="Hyperlink"/>
          </w:rPr>
          <w:t xml:space="preserve">https://doi.org/10.1080/07038992.2000.10874781</w:t>
        </w:r>
      </w:hyperlink>
      <w:r>
        <w:t xml:space="preserve">.</w:t>
      </w:r>
    </w:p>
    <w:bookmarkEnd w:id="267"/>
    <w:bookmarkStart w:id="269"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8">
        <w:r>
          <w:rPr>
            <w:rStyle w:val="Hyperlink"/>
          </w:rPr>
          <w:t xml:space="preserve">https://doi.org/10.1109/TGRS.2010.2099124</w:t>
        </w:r>
      </w:hyperlink>
      <w:r>
        <w:t xml:space="preserve">.</w:t>
      </w:r>
    </w:p>
    <w:bookmarkEnd w:id="269"/>
    <w:bookmarkStart w:id="271"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0">
        <w:r>
          <w:rPr>
            <w:rStyle w:val="Hyperlink"/>
          </w:rPr>
          <w:t xml:space="preserve">https://doi.org/10.1029/97JC01911</w:t>
        </w:r>
      </w:hyperlink>
      <w:r>
        <w:t xml:space="preserve">.</w:t>
      </w:r>
    </w:p>
    <w:bookmarkEnd w:id="271"/>
    <w:bookmarkStart w:id="273"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2">
        <w:r>
          <w:rPr>
            <w:rStyle w:val="Hyperlink"/>
          </w:rPr>
          <w:t xml:space="preserve">https://doi.org/10.1109/LGRS.2017.2753580</w:t>
        </w:r>
      </w:hyperlink>
      <w:r>
        <w:t xml:space="preserve">.</w:t>
      </w:r>
    </w:p>
    <w:bookmarkEnd w:id="273"/>
    <w:bookmarkStart w:id="275"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4">
        <w:r>
          <w:rPr>
            <w:rStyle w:val="Hyperlink"/>
          </w:rPr>
          <w:t xml:space="preserve">https://doi.org/10.1109/TGRS.2010.2051333</w:t>
        </w:r>
      </w:hyperlink>
      <w:r>
        <w:t xml:space="preserve">.</w:t>
      </w:r>
    </w:p>
    <w:bookmarkEnd w:id="275"/>
    <w:bookmarkEnd w:id="276"/>
    <w:p>
      <w:r>
        <w:br w:type="page"/>
      </w:r>
    </w:p>
    <w:bookmarkEnd w:id="277"/>
    <w:bookmarkStart w:id="324" w:name="annexes"/>
    <w:p>
      <w:pPr>
        <w:pStyle w:val="berschrift2"/>
      </w:pPr>
      <w:r>
        <w:t xml:space="preserve">Annexes</w:t>
      </w:r>
    </w:p>
    <w:bookmarkStart w:id="279"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3"/>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3"/>
        </w:numPr>
      </w:pPr>
      <w:r>
        <w:t xml:space="preserve">Apply instrument calibration to produce Beta-Nought values with high fidelity.</w:t>
      </w:r>
    </w:p>
    <w:p>
      <w:pPr>
        <w:pStyle w:val="Compact"/>
        <w:numPr>
          <w:ilvl w:val="0"/>
          <w:numId w:val="1093"/>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3"/>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3"/>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3"/>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3"/>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3"/>
        </w:numPr>
      </w:pPr>
      <w:r>
        <w:t xml:space="preserve">Generate CEOS format metadata to accompany product layers.</w:t>
      </w:r>
    </w:p>
    <w:p>
      <w:pPr>
        <w:pStyle w:val="Compact"/>
        <w:numPr>
          <w:ilvl w:val="0"/>
          <w:numId w:val="1093"/>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8"/>
    <w:bookmarkEnd w:id="279"/>
    <w:bookmarkStart w:id="291"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r>
        <w:rPr>
          <w:b/>
          <w:bCs/>
        </w:rPr>
        <w:t xml:space="preserve">¿sec:rcm.measurements-flattened-phase?</w:t>
      </w:r>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0"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0"/>
    </w:p>
    <w:p>
      <w:pPr>
        <w:pStyle w:val="FirstParagraph"/>
      </w:pPr>
      <w:r>
        <w:t xml:space="preserve">Where</w:t>
      </w:r>
    </w:p>
    <w:p>
      <w:pPr>
        <w:pStyle w:val="Textkrper"/>
      </w:pPr>
      <w:bookmarkStart w:id="281"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1"/>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4"/>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4"/>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2"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2"/>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r>
        <w:rPr>
          <w:b/>
          <w:bCs/>
        </w:rPr>
        <w:t xml:space="preserve">¿sec:rcm.measurements-flattened-phase?</w:t>
      </w:r>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3"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3"/>
    </w:p>
    <w:p>
      <w:pPr>
        <w:pStyle w:val="FirstParagraph"/>
      </w:pPr>
      <w:bookmarkStart w:id="284"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4"/>
    </w:p>
    <w:p>
      <w:pPr>
        <w:pStyle w:val="FirstParagraph"/>
      </w:pPr>
      <w:r>
        <w:t xml:space="preserve">The differential phase is</w:t>
      </w:r>
    </w:p>
    <w:p>
      <w:pPr>
        <w:pStyle w:val="Textkrper"/>
      </w:pPr>
      <w:bookmarkStart w:id="285"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5"/>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6"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6"/>
    </w:p>
    <w:p>
      <w:pPr>
        <w:pStyle w:val="FirstParagraph"/>
      </w:pPr>
      <w:bookmarkStart w:id="287"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7"/>
    </w:p>
    <w:p>
      <w:pPr>
        <w:pStyle w:val="FirstParagraph"/>
      </w:pPr>
      <w:bookmarkStart w:id="288"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8"/>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9"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9"/>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0"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0"/>
    </w:p>
    <w:bookmarkEnd w:id="291"/>
    <w:bookmarkStart w:id="29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3"/>
    </w:p>
    <w:p>
      <w:pPr>
        <w:pStyle w:val="FirstParagraph"/>
      </w:pPr>
      <w:bookmarkStart w:id="29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4"/>
    </w:p>
    <w:p>
      <w:pPr>
        <w:pStyle w:val="FirstParagraph"/>
      </w:pPr>
      <w:bookmarkStart w:id="29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7"/>
    </w:p>
    <w:bookmarkEnd w:id="298"/>
    <w:bookmarkStart w:id="323"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(σE0) backscatter convention (Figure </w:t>
      </w:r>
      <w:hyperlink w:anchor="fig:sar-orb-example-fig1a">
        <w:r>
          <w:rPr>
            <w:rStyle w:val="Hyperlink"/>
          </w:rPr>
          <w:t xml:space="preserve">1</w:t>
        </w:r>
      </w:hyperlink>
      <w:r>
        <w:t xml:space="preserve">), which is recommended for most ocean applications. In addition, availability of the</w:t>
      </w:r>
      <w:r>
        <w:t xml:space="preserve"> </w:t>
      </w:r>
      <w:r>
        <w:t xml:space="preserve">“Local (or Ellipsoidal) Incidence Angle Image”</w:t>
      </w:r>
      <w:r>
        <w:t xml:space="preserve"> </w:t>
      </w:r>
      <w:r>
        <w:t xml:space="preserve">(Figure </w:t>
      </w:r>
      <w:hyperlink w:anchor="fig:sar-orb-example-fig1d">
        <w:r>
          <w:rPr>
            <w:rStyle w:val="Hyperlink"/>
          </w:rPr>
          <w:t xml:space="preserve">4</w:t>
        </w:r>
      </w:hyperlink>
      <w:r>
        <w:t xml:space="preserve">) and</w:t>
      </w:r>
      <w:r>
        <w:t xml:space="preserve"> </w:t>
      </w:r>
      <w:r>
        <w:t xml:space="preserve">“Look Direction Image”</w:t>
      </w:r>
      <w:r>
        <w:t xml:space="preserve"> </w:t>
      </w:r>
      <w:r>
        <w:t xml:space="preserve">per-pixel metadata are highly recommended (otherwise the general metadata</w:t>
      </w:r>
      <w:r>
        <w:t xml:space="preserve"> </w:t>
      </w:r>
      <w:r>
        <w:t xml:space="preserve">“Look Direction Polynomials”</w:t>
      </w:r>
      <w:r>
        <w:t xml:space="preserve">)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2" w:name="fig:sar-orb-example-fig1a"/>
    <w:p>
      <w:pPr>
        <w:pStyle w:val="CaptionedFigure"/>
      </w:pPr>
      <w:r>
        <w:drawing>
          <wp:inline>
            <wp:extent cx="3810000" cy="2540000"/>
            <wp:effectExtent b="0" l="0" r="0" t="0"/>
            <wp:docPr descr="Figure 1: VV intensity; Processing: A. Rosenqvist (soloEO)" title="" id="300" name="Picture"/>
            <a:graphic>
              <a:graphicData uri="http://schemas.openxmlformats.org/drawingml/2006/picture">
                <pic:pic>
                  <pic:nvPicPr>
                    <pic:cNvPr descr="assets/sar-orb-examples/S1-ORB-VV.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2"/>
    <w:bookmarkStart w:id="306" w:name="fig:sar-orb-example-fig1b"/>
    <w:p>
      <w:pPr>
        <w:pStyle w:val="CaptionedFigure"/>
      </w:pPr>
      <w:r>
        <w:drawing>
          <wp:inline>
            <wp:extent cx="3810000" cy="2540000"/>
            <wp:effectExtent b="0" l="0" r="0" t="0"/>
            <wp:docPr descr="Figure 2: VH intensity; Processing: A. Rosenqvist (soloEO)" title="" id="304" name="Picture"/>
            <a:graphic>
              <a:graphicData uri="http://schemas.openxmlformats.org/drawingml/2006/picture">
                <pic:pic>
                  <pic:nvPicPr>
                    <pic:cNvPr descr="assets/sar-orb-examples/S1-ORB-VH.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06"/>
    <w:bookmarkStart w:id="310" w:name="fig:sar-orb-example-fig1c"/>
    <w:p>
      <w:pPr>
        <w:pStyle w:val="CaptionedFigure"/>
      </w:pPr>
      <w:r>
        <w:drawing>
          <wp:inline>
            <wp:extent cx="3810000" cy="2540000"/>
            <wp:effectExtent b="0" l="0" r="0" t="0"/>
            <wp:docPr descr="Figure 3: Data mask image; Processing: A. Rosenqvist (soloEO)" title="" id="308" name="Picture"/>
            <a:graphic>
              <a:graphicData uri="http://schemas.openxmlformats.org/drawingml/2006/picture">
                <pic:pic>
                  <pic:nvPicPr>
                    <pic:cNvPr descr="assets/sar-orb-examples/S1-ORB-data-mask.png" id="309" name="Picture"/>
                    <pic:cNvPicPr>
                      <a:picLocks noChangeArrowheads="1" noChangeAspect="1"/>
                    </pic:cNvPicPr>
                  </pic:nvPicPr>
                  <pic:blipFill>
                    <a:blip r:embed="rId30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0"/>
    <w:bookmarkStart w:id="314" w:name="fig:sar-orb-example-fig1d"/>
    <w:p>
      <w:pPr>
        <w:pStyle w:val="CaptionedFigure"/>
      </w:pPr>
      <w:r>
        <w:drawing>
          <wp:inline>
            <wp:extent cx="3810000" cy="2540000"/>
            <wp:effectExtent b="0" l="0" r="0" t="0"/>
            <wp:docPr descr="Figure 4: Local incident angle; Processing: A. Rosenqvist (soloEO)" title="" id="312" name="Picture"/>
            <a:graphic>
              <a:graphicData uri="http://schemas.openxmlformats.org/drawingml/2006/picture">
                <pic:pic>
                  <pic:nvPicPr>
                    <pic:cNvPr descr="assets/sar-orb-examples/S1-ORB-local-indicident-angle.png" id="313" name="Picture"/>
                    <pic:cNvPicPr>
                      <a:picLocks noChangeArrowheads="1" noChangeAspect="1"/>
                    </pic:cNvPicPr>
                  </pic:nvPicPr>
                  <pic:blipFill>
                    <a:blip r:embed="rId31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14"/>
    <w:p>
      <w:pPr>
        <w:pStyle w:val="Textkrper"/>
      </w:pPr>
      <w:r>
        <w:t xml:space="preserve">Another useful file is the</w:t>
      </w:r>
      <w:r>
        <w:t xml:space="preserve"> </w:t>
      </w:r>
      <w:r>
        <w:t xml:space="preserve">“Mean Wind-Normalised Backscatter Measurements”</w:t>
      </w:r>
      <w:r>
        <w:t xml:space="preserve"> </w:t>
      </w:r>
      <w:r>
        <w:t xml:space="preserve">(Figure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18" w:name="fig:sar-orb-example-fig2a"/>
    <w:p>
      <w:pPr>
        <w:pStyle w:val="CaptionedFigure"/>
      </w:pPr>
      <w:r>
        <w:drawing>
          <wp:inline>
            <wp:extent cx="3810000" cy="2540000"/>
            <wp:effectExtent b="0" l="0" r="0" t="0"/>
            <wp:docPr descr="Figure 5: ORB intensity (Sigma-Nought); Processing: G. Hajduch (CLS)" title="" id="316" name="Picture"/>
            <a:graphic>
              <a:graphicData uri="http://schemas.openxmlformats.org/drawingml/2006/picture">
                <pic:pic>
                  <pic:nvPicPr>
                    <pic:cNvPr descr="assets/sar-orb-examples/S1-ORB-sigma-nought.png" id="317" name="Picture"/>
                    <pic:cNvPicPr>
                      <a:picLocks noChangeArrowheads="1" noChangeAspect="1"/>
                    </pic:cNvPicPr>
                  </pic:nvPicPr>
                  <pic:blipFill>
                    <a:blip r:embed="rId31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18"/>
    <w:bookmarkStart w:id="322"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0" name="Picture"/>
            <a:graphic>
              <a:graphicData uri="http://schemas.openxmlformats.org/drawingml/2006/picture">
                <pic:pic>
                  <pic:nvPicPr>
                    <pic:cNvPr descr="assets/sar-orb-examples/S1-ORB-intesity-compensated.png" id="321" name="Picture"/>
                    <pic:cNvPicPr>
                      <a:picLocks noChangeArrowheads="1" noChangeAspect="1"/>
                    </pic:cNvPicPr>
                  </pic:nvPicPr>
                  <pic:blipFill>
                    <a:blip r:embed="rId31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w:t>
      </w:r>
      <w:r>
        <w:t xml:space="preserve"> </w:t>
      </w:r>
      <w:r>
        <w:t xml:space="preserve">“Mean Wind-Normalised Backscatter Measurement”</w:t>
      </w:r>
      <w:r>
        <w:t xml:space="preserve"> </w:t>
      </w:r>
      <w:r>
        <w:t xml:space="preserve">(i.e., not Sigma-Nought) and geocoded; Processing: G. Hajduch (CLS)</w:t>
      </w:r>
    </w:p>
    <w:bookmarkEnd w:id="322"/>
    <w:bookmarkEnd w:id="323"/>
    <w:bookmarkEnd w:id="324"/>
    <w:bookmarkEnd w:id="32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 w:id="151">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307" Target="media/rId307.png" /><Relationship Type="http://schemas.openxmlformats.org/officeDocument/2006/relationships/image" Id="rId319" Target="media/rId319.png" /><Relationship Type="http://schemas.openxmlformats.org/officeDocument/2006/relationships/image" Id="rId311" Target="media/rId311.png" /><Relationship Type="http://schemas.openxmlformats.org/officeDocument/2006/relationships/image" Id="rId315" Target="media/rId315.png" /><Relationship Type="http://schemas.openxmlformats.org/officeDocument/2006/relationships/hyperlink" Id="rId253"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0" Target="https://doi.org/10.1029/2011JE003986" TargetMode="External" /><Relationship Type="http://schemas.openxmlformats.org/officeDocument/2006/relationships/hyperlink" Id="rId270"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2" Target="https://doi.org/10.1109/LGRS.2017.2753580" TargetMode="External" /><Relationship Type="http://schemas.openxmlformats.org/officeDocument/2006/relationships/hyperlink" Id="rId258"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68" Target="https://doi.org/10.1109/TGRS.2010.2099124"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3"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0" Target="https://doi.org/10.1029/2011JE003986" TargetMode="External" /><Relationship Type="http://schemas.openxmlformats.org/officeDocument/2006/relationships/hyperlink" Id="rId270"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2" Target="https://doi.org/10.1109/LGRS.2017.2753580" TargetMode="External" /><Relationship Type="http://schemas.openxmlformats.org/officeDocument/2006/relationships/hyperlink" Id="rId258"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68" Target="https://doi.org/10.1109/TGRS.2010.2099124"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1.2-draft</dc:title>
  <dc:creator/>
  <dc:language>en</dc:language>
  <cp:keywords/>
  <dcterms:created xsi:type="dcterms:W3CDTF">2026-03-26T15:06:19Z</dcterms:created>
  <dcterms:modified xsi:type="dcterms:W3CDTF">2026-03-26T15:06:19Z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