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08.jpg" ContentType="image/jpeg"/>
  <Override PartName="/word/media/rId30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14" w:name="X585353d8aec71e32101508c22c1e4e52b36bb22"/>
    <w:p>
      <w:pPr>
        <w:pStyle w:val="berschrift1"/>
      </w:pPr>
      <w:r>
        <w:t xml:space="preserve">CEOS-ARD - Synthetic Aperture Radar - Polarimetric Radar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w:t>
      </w:r>
      <w:r>
        <w:t xml:space="preserve"> </w:t>
      </w:r>
      <w:r>
        <w:t xml:space="preserve">“Backscatter Measurement”</w:t>
      </w:r>
      <w:r>
        <w:t xml:space="preserve">: Replaced</w:t>
      </w:r>
      <w:r>
        <w:t xml:space="preserve"> </w:t>
      </w:r>
      <w:r>
        <w:t xml:space="preserve">“and/or”</w:t>
      </w:r>
      <w:r>
        <w:t xml:space="preserve"> </w:t>
      </w:r>
      <w:r>
        <w:t xml:space="preserve">with</w:t>
      </w:r>
      <w:r>
        <w:t xml:space="preserve"> </w:t>
      </w:r>
      <w:r>
        <w:t xml:space="preserve">“one of the following types or both”</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Polarimetric Radar (POL)</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3.6.0-draft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p>
      <w:pPr>
        <w:pStyle w:val="Textkrper"/>
      </w:pPr>
      <w:r>
        <w:rPr>
          <w:b/>
          <w:bCs/>
          <w:i/>
          <w:iCs/>
        </w:rPr>
        <w:t xml:space="preserve">Notice and Limitations:</w:t>
      </w:r>
    </w:p>
    <w:p>
      <w:pPr>
        <w:pStyle w:val="Textkrper"/>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et al.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nearest neighbour method is recommended for resampling the data to the geocoded format.</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 “layer by layer”.</w:t>
      </w:r>
      <w:r>
        <w:t xml:space="preserve"> </w:t>
      </w:r>
      <w:r>
        <w:t xml:space="preserve">Alternatively, samples belonging to the same covariance matrix might be stored next to each other and organized “matrix by matrix”.</w:t>
      </w:r>
      <w:r>
        <w:t xml:space="preserve"> </w:t>
      </w:r>
      <w:r>
        <w:t xml:space="preserve">PRD products are organized “layer by layer”, i.e., with bands corresponding to the output of the polarimetric decomposition stored next to each other.</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4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Relative orbit number</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8"/>
        </w:numPr>
      </w:pPr>
      <w:r>
        <w:t xml:space="preserve">Columns</w:t>
      </w:r>
    </w:p>
    <w:p>
      <w:pPr>
        <w:pStyle w:val="Compact"/>
        <w:numPr>
          <w:ilvl w:val="0"/>
          <w:numId w:val="1038"/>
        </w:numPr>
      </w:pPr>
      <w:r>
        <w:t xml:space="preserve">Rows</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spekfil-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prd-spekfil-pol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40"/>
        </w:numPr>
      </w:pPr>
      <w:r>
        <w:t xml:space="preserve">Reference to algorithm as DOI or URL</w:t>
      </w:r>
    </w:p>
    <w:p>
      <w:pPr>
        <w:pStyle w:val="Compact"/>
        <w:numPr>
          <w:ilvl w:val="0"/>
          <w:numId w:val="1040"/>
        </w:numPr>
      </w:pPr>
      <w:r>
        <w:t xml:space="preserve">Input filtering parameters</w:t>
      </w:r>
    </w:p>
    <w:p>
      <w:pPr>
        <w:pStyle w:val="Compact"/>
        <w:numPr>
          <w:ilvl w:val="1"/>
          <w:numId w:val="1041"/>
        </w:numPr>
      </w:pPr>
      <w:r>
        <w:t xml:space="preserve">Type</w:t>
      </w:r>
    </w:p>
    <w:p>
      <w:pPr>
        <w:pStyle w:val="Compact"/>
        <w:numPr>
          <w:ilvl w:val="1"/>
          <w:numId w:val="1041"/>
        </w:numPr>
      </w:pPr>
      <w:r>
        <w:t xml:space="preserve">Window size in pixel units</w:t>
      </w:r>
    </w:p>
    <w:p>
      <w:pPr>
        <w:pStyle w:val="Compact"/>
        <w:numPr>
          <w:ilvl w:val="1"/>
          <w:numId w:val="1041"/>
        </w:numPr>
      </w:pPr>
      <w:r>
        <w:t xml:space="preserve">Any other parameters defining the speckle filter used</w:t>
      </w:r>
    </w:p>
    <w:p>
      <w:pPr>
        <w:pStyle w:val="FirstParagraph"/>
      </w:pPr>
      <w:r>
        <w:t xml:space="preserve">Advanced polarimetric filter preserving covariance matrix properties shall be applied.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5"/>
        </w:numPr>
      </w:pPr>
      <w:r>
        <w:t xml:space="preserve">Number of lines</w:t>
      </w:r>
    </w:p>
    <w:p>
      <w:pPr>
        <w:pStyle w:val="Compact"/>
        <w:numPr>
          <w:ilvl w:val="0"/>
          <w:numId w:val="1045"/>
        </w:numPr>
      </w:pPr>
      <w:r>
        <w:t xml:space="preserve">Number of pixels per line</w:t>
      </w:r>
    </w:p>
    <w:p>
      <w:pPr>
        <w:pStyle w:val="Compact"/>
        <w:numPr>
          <w:ilvl w:val="0"/>
          <w:numId w:val="1045"/>
        </w:numPr>
      </w:pPr>
      <w:r>
        <w:t xml:space="preserve">File header size (if applicable)</w:t>
      </w:r>
    </w:p>
    <w:p>
      <w:pPr>
        <w:pStyle w:val="Compact"/>
        <w:numPr>
          <w:ilvl w:val="0"/>
          <w:numId w:val="1045"/>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5"/>
    <w:bookmarkEnd w:id="156"/>
    <w:bookmarkStart w:id="160"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w:t>
      </w:r>
      <w:r>
        <w:t xml:space="preserve"> </w:t>
      </w:r>
      <w:r>
        <w:t xml:space="preserve">Only when Flattened phase per-pixel metadata (see</w:t>
      </w:r>
      <w:r>
        <w:t xml:space="preserve"> </w:t>
      </w:r>
      <w:hyperlink w:anchor="sec:rcm-flapha">
        <w:r>
          <w:rPr>
            <w:rStyle w:val="Hyperlink"/>
          </w:rPr>
          <w:t xml:space="preserve">Radiometrically Corrected Measurements: Flattened Phase</w:t>
        </w:r>
      </w:hyperlink>
      <w:r>
        <w:t xml:space="preserve">) is provided.</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bookmarkEnd w:id="158"/>
    <w:bookmarkStart w:id="159" w:name="assessment-29"/>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bookmarkEnd w:id="159"/>
    <w:bookmarkEnd w:id="160"/>
    <w:bookmarkEnd w:id="161"/>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2"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62"/>
    <w:bookmarkStart w:id="163" w:name="goal-requirements-30"/>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63"/>
    <w:bookmarkStart w:id="164" w:name="assessment-30"/>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4"/>
    <w:bookmarkEnd w:id="165"/>
    <w:bookmarkStart w:id="169"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6" w:name="threshold-requirements-31"/>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p>
      <w:pPr>
        <w:pStyle w:val="FirstParagraph"/>
      </w:pPr>
      <w:r>
        <w:t xml:space="preserve">Notes:</w:t>
      </w:r>
    </w:p>
    <w:p>
      <w:pPr>
        <w:pStyle w:val="Compact"/>
        <w:numPr>
          <w:ilvl w:val="0"/>
          <w:numId w:val="1053"/>
        </w:numPr>
      </w:pPr>
      <w:r>
        <w:t xml:space="preserve">All bit value representations included in the Data Mask Image should be indicated in the metadata.</w:t>
      </w:r>
    </w:p>
    <w:p>
      <w:pPr>
        <w:pStyle w:val="Compact"/>
        <w:numPr>
          <w:ilvl w:val="0"/>
          <w:numId w:val="1053"/>
        </w:numPr>
      </w:pPr>
      <w:r>
        <w:t xml:space="preserve">For CEOS-ARD products created from repeat-pass acquisitions, with narrow orbital tube radius, a single static per pixel metadata file can be provided as a URL address of that unique metadata file.</w:t>
      </w:r>
    </w:p>
    <w:bookmarkEnd w:id="166"/>
    <w:bookmarkStart w:id="167"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4"/>
        </w:numPr>
      </w:pPr>
      <w:r>
        <w:t xml:space="preserve">Layover (masked as invalid data in threshold)</w:t>
      </w:r>
    </w:p>
    <w:p>
      <w:pPr>
        <w:pStyle w:val="Compact"/>
        <w:numPr>
          <w:ilvl w:val="0"/>
          <w:numId w:val="1054"/>
        </w:numPr>
      </w:pPr>
      <w:r>
        <w:t xml:space="preserve">Radar shadow (masked as invalid data in threshold)</w:t>
      </w:r>
    </w:p>
    <w:p>
      <w:pPr>
        <w:pStyle w:val="Compact"/>
        <w:numPr>
          <w:ilvl w:val="0"/>
          <w:numId w:val="1054"/>
        </w:numPr>
      </w:pPr>
      <w:r>
        <w:t xml:space="preserve">Ocean water</w:t>
      </w:r>
    </w:p>
    <w:p>
      <w:pPr>
        <w:pStyle w:val="Compact"/>
        <w:numPr>
          <w:ilvl w:val="0"/>
          <w:numId w:val="1054"/>
        </w:numPr>
      </w:pPr>
      <w:r>
        <w:t xml:space="preserve">Land (recommended for ORB)</w:t>
      </w:r>
    </w:p>
    <w:p>
      <w:pPr>
        <w:pStyle w:val="Compact"/>
        <w:numPr>
          <w:ilvl w:val="0"/>
          <w:numId w:val="1054"/>
        </w:numPr>
      </w:pPr>
      <w:r>
        <w:t xml:space="preserve">RTC applied (e.g., for maritime scenes with land samples for which RTC has been applied)</w:t>
      </w:r>
    </w:p>
    <w:p>
      <w:pPr>
        <w:pStyle w:val="Compact"/>
        <w:numPr>
          <w:ilvl w:val="0"/>
          <w:numId w:val="1054"/>
        </w:numPr>
      </w:pPr>
      <w:r>
        <w:t xml:space="preserve">DEM gap filling (i.e., interpolated DEM over gaps)</w:t>
      </w:r>
    </w:p>
    <w:bookmarkEnd w:id="167"/>
    <w:bookmarkStart w:id="168" w:name="assessment-31"/>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68"/>
    <w:bookmarkEnd w:id="169"/>
    <w:bookmarkStart w:id="173"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0" w:name="threshold-requirements-32"/>
    <w:p>
      <w:pPr>
        <w:pStyle w:val="berschrift5"/>
      </w:pPr>
      <w:r>
        <w:t xml:space="preserve">Threshold requirements:</w:t>
      </w:r>
    </w:p>
    <w:p>
      <w:pPr>
        <w:pStyle w:val="FirstParagraph"/>
      </w:pPr>
      <w:r>
        <w:t xml:space="preserve">Not required.</w:t>
      </w:r>
      <w:r>
        <w:t xml:space="preserve"> </w:t>
      </w:r>
    </w:p>
    <w:bookmarkEnd w:id="170"/>
    <w:bookmarkStart w:id="171"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6"/>
        </w:numPr>
      </w:pPr>
      <w:r>
        <w:t xml:space="preserve">Sample Type (Scattering Area)</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7"/>
        </w:numPr>
      </w:pPr>
      <w:r>
        <w:t xml:space="preserve">Required for products such as NRB and POL if they are to be used as an input to production of composite backscatter (CB) when weighted averages based on the areas are used to generate composite backscatter.</w:t>
      </w:r>
    </w:p>
    <w:bookmarkEnd w:id="171"/>
    <w:bookmarkStart w:id="172" w:name="assessment-32"/>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2"/>
    <w:bookmarkEnd w:id="173"/>
    <w:bookmarkStart w:id="177"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4"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FirstParagraph"/>
      </w:pPr>
      <w:r>
        <w:t xml:space="preserve">Note:</w:t>
      </w:r>
    </w:p>
    <w:p>
      <w:pPr>
        <w:pStyle w:val="Compact"/>
        <w:numPr>
          <w:ilvl w:val="0"/>
          <w:numId w:val="1060"/>
        </w:numPr>
      </w:pPr>
      <w:r>
        <w:t xml:space="preserve">For CEOS-ARD products created from repeat-pass acquisitions, with narrow orbital tube radius, a single static per pixel metadata file can be provided as a URL address of that unique metadata file.</w:t>
      </w:r>
    </w:p>
    <w:bookmarkEnd w:id="174"/>
    <w:bookmarkStart w:id="175" w:name="goal-requirements-33"/>
    <w:p>
      <w:pPr>
        <w:pStyle w:val="berschrift5"/>
      </w:pPr>
      <w:r>
        <w:t xml:space="preserve">Goal requirements:</w:t>
      </w:r>
    </w:p>
    <w:p>
      <w:pPr>
        <w:pStyle w:val="FirstParagraph"/>
      </w:pPr>
      <w:r>
        <w:t xml:space="preserve">As threshold.</w:t>
      </w:r>
      <w:r>
        <w:t xml:space="preserve"> </w:t>
      </w:r>
    </w:p>
    <w:bookmarkEnd w:id="175"/>
    <w:bookmarkStart w:id="176" w:name="assessment-33"/>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6"/>
    <w:bookmarkEnd w:id="177"/>
    <w:bookmarkStart w:id="181"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8" w:name="threshold-requirements-34"/>
    <w:p>
      <w:pPr>
        <w:pStyle w:val="berschrift5"/>
      </w:pPr>
      <w:r>
        <w:t xml:space="preserve">Threshold requirements:</w:t>
      </w:r>
    </w:p>
    <w:p>
      <w:pPr>
        <w:pStyle w:val="FirstParagraph"/>
      </w:pPr>
      <w:r>
        <w:t xml:space="preserve">Not required.</w:t>
      </w:r>
      <w:r>
        <w:t xml:space="preserve"> </w:t>
      </w:r>
    </w:p>
    <w:bookmarkEnd w:id="178"/>
    <w:bookmarkStart w:id="179"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2"/>
        </w:numPr>
      </w:pPr>
      <w:r>
        <w:t xml:space="preserve">Sample Type (Angle)</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p>
      <w:pPr>
        <w:pStyle w:val="Compact"/>
        <w:numPr>
          <w:ilvl w:val="0"/>
          <w:numId w:val="1062"/>
        </w:numPr>
      </w:pPr>
      <w:r>
        <w:t xml:space="preserve">Reference Ellipsoid Name</w:t>
      </w:r>
    </w:p>
    <w:p>
      <w:pPr>
        <w:pStyle w:val="FirstParagraph"/>
      </w:pPr>
      <w:r>
        <w:t xml:space="preserve">Note:</w:t>
      </w:r>
    </w:p>
    <w:p>
      <w:pPr>
        <w:pStyle w:val="Compact"/>
        <w:numPr>
          <w:ilvl w:val="0"/>
          <w:numId w:val="1063"/>
        </w:numPr>
      </w:pPr>
      <w:r>
        <w:t xml:space="preserve">For CEOS-ARD products created from repeat-pass acquisitions, with narrow orbital tube radius, a single static per pixel metadata file can be provided as a URL address of that unique metadata file.</w:t>
      </w:r>
    </w:p>
    <w:bookmarkEnd w:id="179"/>
    <w:bookmarkStart w:id="180" w:name="assessment-34"/>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0"/>
    <w:bookmarkEnd w:id="181"/>
    <w:bookmarkStart w:id="185"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5"/>
        </w:numPr>
      </w:pPr>
      <w:r>
        <w:t xml:space="preserve">Sample Type (Gamma-Nought, Sigma-Nought, Beta-Nought)</w:t>
      </w:r>
    </w:p>
    <w:p>
      <w:pPr>
        <w:pStyle w:val="Compact"/>
        <w:numPr>
          <w:ilvl w:val="0"/>
          <w:numId w:val="1065"/>
        </w:numPr>
      </w:pPr>
      <w:r>
        <w:t xml:space="preserve">Correction model type (Ellipsoid, Topography)</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3"/>
    <w:bookmarkStart w:id="184" w:name="assessment-35"/>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4"/>
    <w:bookmarkEnd w:id="185"/>
    <w:bookmarkStart w:id="189" w:name="sec:pxl-gasiri"/>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7"/>
        </w:numPr>
      </w:pPr>
      <w:r>
        <w:t xml:space="preserve">Sample Type (Ratio)</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FirstParagraph"/>
      </w:pPr>
      <w:r>
        <w:t xml:space="preserve">Note:</w:t>
      </w:r>
    </w:p>
    <w:p>
      <w:pPr>
        <w:pStyle w:val="Compact"/>
        <w:numPr>
          <w:ilvl w:val="0"/>
          <w:numId w:val="1068"/>
        </w:numPr>
      </w:pPr>
      <w:r>
        <w:t xml:space="preserve">For CEOS-ARD products created from repeat-pass acquisitions, with narrow orbital tube radius, a single static per pixel metadata file can be provided as a URL address of that unique metadata file.</w:t>
      </w:r>
    </w:p>
    <w:bookmarkEnd w:id="187"/>
    <w:bookmarkStart w:id="188" w:name="assessment-36"/>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88"/>
    <w:bookmarkEnd w:id="189"/>
    <w:bookmarkStart w:id="193" w:name="sec:pxl-pacqidm"/>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90" w:name="threshold-requirements-37"/>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70"/>
        </w:numPr>
      </w:pPr>
      <w:r>
        <w:t xml:space="preserve">Sample type (Day, Time, ID)</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190"/>
    <w:bookmarkStart w:id="191" w:name="goal-requirements-37"/>
    <w:p>
      <w:pPr>
        <w:pStyle w:val="berschrift5"/>
      </w:pPr>
      <w:r>
        <w:t xml:space="preserve">Goal requirements:</w:t>
      </w:r>
    </w:p>
    <w:p>
      <w:pPr>
        <w:pStyle w:val="FirstParagraph"/>
      </w:pPr>
      <w:r>
        <w:t xml:space="preserve">As threshold.</w:t>
      </w:r>
      <w:r>
        <w:t xml:space="preserve"> </w:t>
      </w:r>
    </w:p>
    <w:bookmarkEnd w:id="191"/>
    <w:bookmarkStart w:id="192" w:name="assessment-37"/>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2"/>
    <w:bookmarkEnd w:id="193"/>
    <w:bookmarkStart w:id="197" w:name="sec:pxl-pi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pxl-pidem</w:t>
      </w:r>
    </w:p>
    <w:bookmarkStart w:id="194" w:name="threshold-requirements-38"/>
    <w:p>
      <w:pPr>
        <w:pStyle w:val="berschrift5"/>
      </w:pPr>
      <w:r>
        <w:t xml:space="preserve">Threshold requirements:</w:t>
      </w:r>
    </w:p>
    <w:p>
      <w:pPr>
        <w:pStyle w:val="FirstParagraph"/>
      </w:pPr>
      <w:r>
        <w:t xml:space="preserve">Not required.</w:t>
      </w:r>
      <w:r>
        <w:t xml:space="preserve"> </w:t>
      </w:r>
    </w:p>
    <w:bookmarkEnd w:id="194"/>
    <w:bookmarkStart w:id="195" w:name="goal-requirements-38"/>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72"/>
        </w:numPr>
      </w:pPr>
      <w:r>
        <w:t xml:space="preserve">Sample Type (Height)</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For CEOS-ARD products created from repeat-pass acquisitions, with narrow orbital tube radius, a single static per pixel metadata file can be provided as a URL address of that unique metadata file.</w:t>
      </w:r>
    </w:p>
    <w:bookmarkEnd w:id="195"/>
    <w:bookmarkStart w:id="196" w:name="assessment-38"/>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bookmarkEnd w:id="196"/>
    <w:bookmarkEnd w:id="197"/>
    <w:bookmarkEnd w:id="198"/>
    <w:bookmarkStart w:id="22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backsca-pol"/>
    <w:p>
      <w:pPr>
        <w:pStyle w:val="berschrift4"/>
      </w:pPr>
      <w:r>
        <w:rPr>
          <w:rStyle w:val="VerbatimChar"/>
        </w:rPr>
        <w:t xml:space="preserve">5.1.</w:t>
      </w:r>
      <w:r>
        <w:t xml:space="preserve"> </w:t>
      </w:r>
      <w:r>
        <w:t xml:space="preserve">Backscatter Measurements (POL)</w:t>
      </w:r>
    </w:p>
    <w:p>
      <w:pPr>
        <w:pStyle w:val="FirstParagraph"/>
      </w:pPr>
      <w:r>
        <w:t xml:space="preserve">Identifier:</w:t>
      </w:r>
      <w:r>
        <w:t xml:space="preserve"> </w:t>
      </w:r>
      <w:r>
        <w:rPr>
          <w:rStyle w:val="VerbatimChar"/>
        </w:rPr>
        <w:t xml:space="preserve">rcm-backsca-pol</w:t>
      </w:r>
    </w:p>
    <w:bookmarkStart w:id="199" w:name="threshold-requirements-39"/>
    <w:p>
      <w:pPr>
        <w:pStyle w:val="berschrift5"/>
      </w:pPr>
      <w:r>
        <w:t xml:space="preserve">Threshold requirements:</w:t>
      </w:r>
    </w:p>
    <w:p>
      <w:pPr>
        <w:pStyle w:val="FirstParagraph"/>
      </w:pPr>
      <w:r>
        <w:t xml:space="preserve">Measurements can be one of the following types or both:</w:t>
      </w:r>
    </w:p>
    <w:p>
      <w:pPr>
        <w:pStyle w:val="Compact"/>
        <w:numPr>
          <w:ilvl w:val="0"/>
          <w:numId w:val="1075"/>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5"/>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6"/>
        </w:numPr>
      </w:pPr>
      <w:r>
        <w:t xml:space="preserve">Measurement Type (CovMat, PRD)</w:t>
      </w:r>
    </w:p>
    <w:p>
      <w:pPr>
        <w:pStyle w:val="Compact"/>
        <w:numPr>
          <w:ilvl w:val="0"/>
          <w:numId w:val="1076"/>
        </w:numPr>
      </w:pPr>
      <w:r>
        <w:t xml:space="preserve">Measurement convention unit (linear amplitude, or linear power [see notes], or phase angle)</w:t>
      </w:r>
    </w:p>
    <w:p>
      <w:pPr>
        <w:pStyle w:val="Compact"/>
        <w:numPr>
          <w:ilvl w:val="0"/>
          <w:numId w:val="1076"/>
        </w:numPr>
      </w:pPr>
      <w:r>
        <w:t xml:space="preserve">Individual covariance matrix element or/and Individual component of the decomposition (C3m11, C3m12, …, or H, A, alpha, or …)</w:t>
      </w:r>
    </w:p>
    <w:p>
      <w:pPr>
        <w:pStyle w:val="Compact"/>
        <w:numPr>
          <w:ilvl w:val="0"/>
          <w:numId w:val="1076"/>
        </w:numPr>
      </w:pPr>
      <w:r>
        <w:t xml:space="preserve">Data Format (GeoTIFF, HDF5, NetCDF, …)</w:t>
      </w:r>
    </w:p>
    <w:p>
      <w:pPr>
        <w:pStyle w:val="Compact"/>
        <w:numPr>
          <w:ilvl w:val="0"/>
          <w:numId w:val="1076"/>
        </w:numPr>
      </w:pPr>
      <w:r>
        <w:t xml:space="preserve">Data Type (Int, Float, Complex, …)</w:t>
      </w:r>
    </w:p>
    <w:p>
      <w:pPr>
        <w:pStyle w:val="Compact"/>
        <w:numPr>
          <w:ilvl w:val="0"/>
          <w:numId w:val="1076"/>
        </w:numPr>
      </w:pPr>
      <w:r>
        <w:t xml:space="preserve">Bits per Sample</w:t>
      </w:r>
    </w:p>
    <w:p>
      <w:pPr>
        <w:pStyle w:val="Compact"/>
        <w:numPr>
          <w:ilvl w:val="0"/>
          <w:numId w:val="1076"/>
        </w:numPr>
      </w:pPr>
      <w:r>
        <w:t xml:space="preserve">Byte Order</w:t>
      </w:r>
    </w:p>
    <w:p>
      <w:pPr>
        <w:pStyle w:val="FirstParagraph"/>
      </w:pPr>
      <w:r>
        <w:t xml:space="preserve">Notes:</w:t>
      </w:r>
    </w:p>
    <w:p>
      <w:pPr>
        <w:pStyle w:val="Compact"/>
        <w:numPr>
          <w:ilvl w:val="0"/>
          <w:numId w:val="1077"/>
        </w:numPr>
      </w:pPr>
      <w:r>
        <w:t xml:space="preserve">Transformation to the logarithm decibel scale is not required or desired as this step can be completed by the user if necessary.</w:t>
      </w:r>
    </w:p>
    <w:p>
      <w:pPr>
        <w:pStyle w:val="Compact"/>
        <w:numPr>
          <w:ilvl w:val="0"/>
          <w:numId w:val="1077"/>
        </w:numPr>
      </w:pPr>
      <w:r>
        <w:t xml:space="preserve">It is recommended to keep CovMat or PRD measurement files separated. Else, specify the multi-channel format order [BIP, BIL, BSQ].</w:t>
      </w:r>
    </w:p>
    <w:bookmarkEnd w:id="199"/>
    <w:bookmarkStart w:id="200" w:name="goal-requirements-39"/>
    <w:p>
      <w:pPr>
        <w:pStyle w:val="berschrift5"/>
      </w:pPr>
      <w:r>
        <w:t xml:space="preserve">Goal requirements:</w:t>
      </w:r>
    </w:p>
    <w:p>
      <w:pPr>
        <w:pStyle w:val="FirstParagraph"/>
      </w:pPr>
      <w:r>
        <w:t xml:space="preserve">As threshold.</w:t>
      </w:r>
      <w:r>
        <w:t xml:space="preserve"> </w:t>
      </w:r>
    </w:p>
    <w:bookmarkEnd w:id="200"/>
    <w:bookmarkStart w:id="201" w:name="assessment-39"/>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01"/>
    <w:bookmarkEnd w:id="202"/>
    <w:bookmarkStart w:id="206"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3"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3"/>
    <w:bookmarkStart w:id="204" w:name="goal-requirements-40"/>
    <w:p>
      <w:pPr>
        <w:pStyle w:val="berschrift5"/>
      </w:pPr>
      <w:r>
        <w:t xml:space="preserve">Goal requirements:</w:t>
      </w:r>
    </w:p>
    <w:p>
      <w:pPr>
        <w:pStyle w:val="FirstParagraph"/>
      </w:pPr>
      <w:r>
        <w:t xml:space="preserve">As threshold, but use of float32.</w:t>
      </w:r>
    </w:p>
    <w:bookmarkEnd w:id="204"/>
    <w:bookmarkStart w:id="205" w:name="assessment-40"/>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05"/>
    <w:bookmarkEnd w:id="206"/>
    <w:bookmarkStart w:id="210"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07" w:name="threshold-requirements-41"/>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80"/>
        </w:numPr>
      </w:pPr>
      <w:r>
        <w:t xml:space="preserve">Thermal noise removal and image border noise removal to remove overall scene noise and scene edge artefacts, respectively.</w:t>
      </w:r>
    </w:p>
    <w:bookmarkEnd w:id="207"/>
    <w:bookmarkStart w:id="208" w:name="goal-requirements-41"/>
    <w:p>
      <w:pPr>
        <w:pStyle w:val="berschrift5"/>
      </w:pPr>
      <w:r>
        <w:t xml:space="preserve">Goal requirements:</w:t>
      </w:r>
    </w:p>
    <w:p>
      <w:pPr>
        <w:pStyle w:val="FirstParagraph"/>
      </w:pPr>
      <w:r>
        <w:t xml:space="preserve">As threshold.</w:t>
      </w:r>
      <w:r>
        <w:t xml:space="preserve"> </w:t>
      </w:r>
    </w:p>
    <w:bookmarkEnd w:id="208"/>
    <w:bookmarkStart w:id="209" w:name="assessment-41"/>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09"/>
    <w:bookmarkEnd w:id="210"/>
    <w:bookmarkStart w:id="214" w:name="sec:rcm-radtalg-appl"/>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rcm-radtalg-appl</w:t>
      </w:r>
    </w:p>
    <w:bookmarkStart w:id="211" w:name="threshold-requirements-42"/>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2"/>
        </w:numPr>
      </w:pPr>
      <w:r>
        <w:t xml:space="preserve">a citable peer-reviewed algorithm</w:t>
      </w:r>
    </w:p>
    <w:p>
      <w:pPr>
        <w:pStyle w:val="Compact"/>
        <w:numPr>
          <w:ilvl w:val="0"/>
          <w:numId w:val="1082"/>
        </w:numPr>
      </w:pPr>
      <w:r>
        <w:t xml:space="preserve">technical documentation regarding the algorithm used to generate the backscatter estimates is expressed as URLs or DOIs</w:t>
      </w:r>
    </w:p>
    <w:p>
      <w:pPr>
        <w:pStyle w:val="Compact"/>
        <w:numPr>
          <w:ilvl w:val="0"/>
          <w:numId w:val="1082"/>
        </w:numPr>
      </w:pPr>
      <w:r>
        <w:t xml:space="preserve">the sources of auxiliary data used to make corrections</w:t>
      </w:r>
    </w:p>
    <w:p>
      <w:pPr>
        <w:pStyle w:val="FirstParagraph"/>
      </w:pPr>
      <w:r>
        <w:t xml:space="preserve">Note:</w:t>
      </w:r>
    </w:p>
    <w:p>
      <w:pPr>
        <w:pStyle w:val="Compact"/>
        <w:numPr>
          <w:ilvl w:val="0"/>
          <w:numId w:val="1083"/>
        </w:numPr>
      </w:pPr>
      <w:r>
        <w:t xml:space="preserve">Examples of technical documentation include an Algorithm, Theoretical Basis Document, product user guide, etc.</w:t>
      </w:r>
    </w:p>
    <w:bookmarkEnd w:id="211"/>
    <w:bookmarkStart w:id="212" w:name="goal-requirements-42"/>
    <w:p>
      <w:pPr>
        <w:pStyle w:val="berschrift5"/>
      </w:pPr>
      <w:r>
        <w:t xml:space="preserve">Goal requirements:</w:t>
      </w:r>
    </w:p>
    <w:p>
      <w:pPr>
        <w:pStyle w:val="FirstParagraph"/>
      </w:pPr>
      <w:r>
        <w:t xml:space="preserve">As threshold.</w:t>
      </w:r>
      <w:r>
        <w:t xml:space="preserve"> </w:t>
      </w:r>
    </w:p>
    <w:bookmarkEnd w:id="212"/>
    <w:bookmarkStart w:id="213" w:name="assessment-42"/>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3"/>
    <w:bookmarkEnd w:id="214"/>
    <w:bookmarkStart w:id="218"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5" w:name="threshold-requirements-43"/>
    <w:p>
      <w:pPr>
        <w:pStyle w:val="berschrift5"/>
      </w:pPr>
      <w:r>
        <w:t xml:space="preserve">Threshold requirements:</w:t>
      </w:r>
    </w:p>
    <w:p>
      <w:pPr>
        <w:pStyle w:val="FirstParagraph"/>
      </w:pPr>
      <w:r>
        <w:t xml:space="preserve">Not required.</w:t>
      </w:r>
      <w:r>
        <w:t xml:space="preserve"> </w:t>
      </w:r>
    </w:p>
    <w:bookmarkEnd w:id="215"/>
    <w:bookmarkStart w:id="216" w:name="goal-requirements-43"/>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6"/>
    <w:bookmarkStart w:id="217" w:name="assessment-43"/>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17"/>
    <w:bookmarkEnd w:id="218"/>
    <w:bookmarkStart w:id="222" w:name="sec:rcm-flapha"/>
    <w:p>
      <w:pPr>
        <w:pStyle w:val="berschrift4"/>
      </w:pPr>
      <w:r>
        <w:rPr>
          <w:rStyle w:val="VerbatimChar"/>
        </w:rPr>
        <w:t xml:space="preserve">5.6.</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w:t>
      </w:r>
      <w:r>
        <w:t xml:space="preserve"> </w:t>
      </w:r>
      <w:r>
        <w:t xml:space="preserve">Alternative to GSLC product for NRB and POL products</w:t>
      </w:r>
    </w:p>
    <w:bookmarkStart w:id="219" w:name="threshold-requirements-44"/>
    <w:p>
      <w:pPr>
        <w:pStyle w:val="berschrift5"/>
      </w:pPr>
      <w:r>
        <w:t xml:space="preserve">Threshold requirements:</w:t>
      </w:r>
    </w:p>
    <w:p>
      <w:pPr>
        <w:pStyle w:val="FirstParagraph"/>
      </w:pPr>
      <w:r>
        <w:t xml:space="preserve">Not required.</w:t>
      </w:r>
      <w:r>
        <w:t xml:space="preserve"> </w:t>
      </w:r>
    </w:p>
    <w:bookmarkEnd w:id="219"/>
    <w:bookmarkStart w:id="220" w:name="goal-requirements-44"/>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annex</w:t>
      </w:r>
      <w:r>
        <w:t xml:space="preserve"> </w:t>
      </w:r>
      <w:r>
        <w:t xml:space="preserve">“Topographic phase removal”</w:t>
      </w:r>
      <w:r>
        <w:t xml:space="preserve"> </w:t>
      </w:r>
      <w:r>
        <w:t xml:space="preserve">in the applicable PFS).</w:t>
      </w:r>
      <w:r>
        <w:t xml:space="preserve"> </w:t>
      </w:r>
      <w:r>
        <w:t xml:space="preserve">The use of the Flattened Phase with the NRB or POL intensity (</w:t>
      </w:r>
      <w:hyperlink w:anchor="sec:rcm">
        <w:r>
          <w:rPr>
            <w:rStyle w:val="Hyperlink"/>
          </w:rPr>
          <w:t xml:space="preserve">Radiometrically Corrected Measurements</w:t>
        </w:r>
      </w:hyperlink>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r>
            <m:rPr>
              <m:sty m:val="p"/>
            </m:rPr>
            <m:t>(</m:t>
          </m:r>
          <m:r>
            <m:t>j</m:t>
          </m:r>
          <m:r>
            <m:rPr>
              <m:sty m:val="p"/>
            </m:rPr>
            <m:t>⋅</m:t>
          </m:r>
          <m:r>
            <m:rPr>
              <m:nor/>
              <m:sty m:val="p"/>
            </m:rPr>
            <m:t>FlattenPhase</m:t>
          </m:r>
          <m:r>
            <m:rPr>
              <m:sty m:val="p"/>
            </m:rPr>
            <m:t>)</m:t>
          </m:r>
        </m:oMath>
      </m:oMathPara>
    </w:p>
    <w:p>
      <w:pPr>
        <w:pStyle w:val="FirstParagraph"/>
      </w:pPr>
      <w:r>
        <w:t xml:space="preserve">File format specifications/contents provided in metadata:</w:t>
      </w:r>
    </w:p>
    <w:p>
      <w:pPr>
        <w:pStyle w:val="Compact"/>
        <w:numPr>
          <w:ilvl w:val="0"/>
          <w:numId w:val="1086"/>
        </w:numPr>
      </w:pPr>
      <w:r>
        <w:t xml:space="preserve">Measurement Type (Flattened Phase)</w:t>
      </w:r>
    </w:p>
    <w:p>
      <w:pPr>
        <w:pStyle w:val="Compact"/>
        <w:numPr>
          <w:ilvl w:val="0"/>
          <w:numId w:val="1086"/>
        </w:numPr>
      </w:pPr>
      <w:r>
        <w:t xml:space="preserve">Reference Polarization (HH/HV/VV/VH)</w:t>
      </w:r>
    </w:p>
    <w:p>
      <w:pPr>
        <w:pStyle w:val="Compact"/>
        <w:numPr>
          <w:ilvl w:val="0"/>
          <w:numId w:val="1086"/>
        </w:numPr>
      </w:pPr>
      <w:r>
        <w:t xml:space="preserve">Data Format (GeoTIFF, HDF5, NetCDF, …)</w:t>
      </w:r>
    </w:p>
    <w:p>
      <w:pPr>
        <w:pStyle w:val="Compact"/>
        <w:numPr>
          <w:ilvl w:val="0"/>
          <w:numId w:val="1086"/>
        </w:numPr>
      </w:pPr>
      <w:r>
        <w:t xml:space="preserve">Data Type (Int, Float, …)</w:t>
      </w:r>
    </w:p>
    <w:p>
      <w:pPr>
        <w:pStyle w:val="Compact"/>
        <w:numPr>
          <w:ilvl w:val="0"/>
          <w:numId w:val="1086"/>
        </w:numPr>
      </w:pPr>
      <w:r>
        <w:t xml:space="preserve">Bits per Sample</w:t>
      </w:r>
    </w:p>
    <w:p>
      <w:pPr>
        <w:pStyle w:val="Compact"/>
        <w:numPr>
          <w:ilvl w:val="0"/>
          <w:numId w:val="1086"/>
        </w:numPr>
      </w:pPr>
      <w:r>
        <w:t xml:space="preserve">Byte Order</w:t>
      </w:r>
    </w:p>
    <w:p>
      <w:pPr>
        <w:pStyle w:val="FirstParagraph"/>
      </w:pPr>
      <w:r>
        <w:t xml:space="preserve">In case of polarimetric data, indicate the reference polarization.</w:t>
      </w:r>
    </w:p>
    <w:bookmarkEnd w:id="220"/>
    <w:bookmarkStart w:id="221" w:name="assessment-44"/>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21"/>
    <w:bookmarkEnd w:id="222"/>
    <w:bookmarkEnd w:id="223"/>
    <w:bookmarkStart w:id="244"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7"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4" w:name="threshold-requirements-45"/>
    <w:p>
      <w:pPr>
        <w:pStyle w:val="berschrift5"/>
      </w:pPr>
      <w:r>
        <w:t xml:space="preserve">Threshold requirements:</w:t>
      </w:r>
    </w:p>
    <w:p>
      <w:pPr>
        <w:pStyle w:val="FirstParagraph"/>
      </w:pPr>
      <w:r>
        <w:t xml:space="preserve">Not required.</w:t>
      </w:r>
      <w:r>
        <w:t xml:space="preserve"> </w:t>
      </w:r>
    </w:p>
    <w:bookmarkEnd w:id="224"/>
    <w:bookmarkStart w:id="225" w:name="goal-requirements-45"/>
    <w:p>
      <w:pPr>
        <w:pStyle w:val="berschrift5"/>
      </w:pPr>
      <w:r>
        <w:t xml:space="preserve">Goal requirements:</w:t>
      </w:r>
    </w:p>
    <w:p>
      <w:pPr>
        <w:pStyle w:val="FirstParagraph"/>
      </w:pPr>
      <w:r>
        <w:t xml:space="preserve">Metadata references, e.g.:</w:t>
      </w:r>
    </w:p>
    <w:p>
      <w:pPr>
        <w:pStyle w:val="Compact"/>
        <w:numPr>
          <w:ilvl w:val="0"/>
          <w:numId w:val="1088"/>
        </w:numPr>
      </w:pPr>
      <w:r>
        <w:t xml:space="preserve">A metadata citable peer-reviewed algorithm</w:t>
      </w:r>
    </w:p>
    <w:p>
      <w:pPr>
        <w:pStyle w:val="Compact"/>
        <w:numPr>
          <w:ilvl w:val="0"/>
          <w:numId w:val="1088"/>
        </w:numPr>
      </w:pPr>
      <w:r>
        <w:t xml:space="preserve">Technical documentation regarding the implementation of that algorithm expressed as URLs or DOIs</w:t>
      </w:r>
    </w:p>
    <w:p>
      <w:pPr>
        <w:pStyle w:val="Compact"/>
        <w:numPr>
          <w:ilvl w:val="0"/>
          <w:numId w:val="1088"/>
        </w:numPr>
      </w:pPr>
      <w:r>
        <w:t xml:space="preserve">The sources of auxiliary data used to make corrections</w:t>
      </w:r>
    </w:p>
    <w:p>
      <w:pPr>
        <w:pStyle w:val="Compact"/>
        <w:numPr>
          <w:ilvl w:val="0"/>
          <w:numId w:val="1088"/>
        </w:numPr>
      </w:pPr>
      <w:r>
        <w:t xml:space="preserve">Resampling method used for geometric processing of the source data</w:t>
      </w:r>
    </w:p>
    <w:p>
      <w:pPr>
        <w:pStyle w:val="FirstParagraph"/>
      </w:pPr>
      <w:r>
        <w:t xml:space="preserve">Note:</w:t>
      </w:r>
    </w:p>
    <w:p>
      <w:pPr>
        <w:pStyle w:val="Compact"/>
        <w:numPr>
          <w:ilvl w:val="0"/>
          <w:numId w:val="1089"/>
        </w:numPr>
      </w:pPr>
      <w:r>
        <w:t xml:space="preserve">Examples of technical documentation can include e.g., an Algorithm Theoretical Basis Document (ATBD), or a product user guide.</w:t>
      </w:r>
    </w:p>
    <w:bookmarkEnd w:id="225"/>
    <w:bookmarkStart w:id="226" w:name="assessment-45"/>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26"/>
    <w:bookmarkEnd w:id="227"/>
    <w:bookmarkStart w:id="231"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28" w:name="threshold-requirements-46"/>
    <w:p>
      <w:pPr>
        <w:pStyle w:val="berschrift5"/>
      </w:pPr>
      <w:r>
        <w:t xml:space="preserve">Threshold requirements:</w:t>
      </w:r>
    </w:p>
    <w:p>
      <w:pPr>
        <w:pStyle w:val="Compact"/>
        <w:numPr>
          <w:ilvl w:val="0"/>
          <w:numId w:val="1091"/>
        </w:numPr>
      </w:pPr>
      <w:r>
        <w:t xml:space="preserve">During ortho-rectification, the data provider shall use the same DEM that was used for the radiometric terrain flattening to ensure consistency of the data stack.</w:t>
      </w:r>
    </w:p>
    <w:p>
      <w:pPr>
        <w:pStyle w:val="Compact"/>
        <w:numPr>
          <w:ilvl w:val="0"/>
          <w:numId w:val="1091"/>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91"/>
        </w:numPr>
      </w:pPr>
      <w:r>
        <w:t xml:space="preserve">Provide reference to Earth Gravitational Model (EGM) if used for geometric correction. For mosaic or composite products, specify the EGM used for each input data source, if different.</w:t>
      </w:r>
    </w:p>
    <w:bookmarkEnd w:id="228"/>
    <w:bookmarkStart w:id="229" w:name="goal-requirements-46"/>
    <w:p>
      <w:pPr>
        <w:pStyle w:val="berschrift5"/>
      </w:pPr>
      <w:r>
        <w:t xml:space="preserve">Goal requirements:</w:t>
      </w:r>
    </w:p>
    <w:p>
      <w:pPr>
        <w:pStyle w:val="Compact"/>
        <w:numPr>
          <w:ilvl w:val="0"/>
          <w:numId w:val="1092"/>
        </w:numPr>
      </w:pPr>
      <w:r>
        <w:t xml:space="preserve">A DEM with comparable or better resolution to the resolution of the output CEOS-ARD product shall be used if available. Else, the upsampled DEM is identified.</w:t>
      </w:r>
    </w:p>
    <w:p>
      <w:pPr>
        <w:pStyle w:val="Compact"/>
        <w:numPr>
          <w:ilvl w:val="0"/>
          <w:numId w:val="1092"/>
        </w:numPr>
      </w:pPr>
      <w:r>
        <w:t xml:space="preserve">Resampling method used for preparation of the DEM.</w:t>
      </w:r>
    </w:p>
    <w:p>
      <w:pPr>
        <w:pStyle w:val="Compact"/>
        <w:numPr>
          <w:ilvl w:val="0"/>
          <w:numId w:val="1092"/>
        </w:numPr>
      </w:pPr>
      <w:r>
        <w:t xml:space="preserve">Method used for resampling the EGM.</w:t>
      </w:r>
    </w:p>
    <w:bookmarkEnd w:id="229"/>
    <w:bookmarkStart w:id="230" w:name="assessment-46"/>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30"/>
    <w:bookmarkEnd w:id="231"/>
    <w:bookmarkStart w:id="235"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2" w:name="threshold-requirements-47"/>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94"/>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4"/>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94"/>
        </w:numPr>
      </w:pPr>
      <w:r>
        <w:t xml:space="preserve">For new SAR missions, as long as calibration/validation reports are not available, values can be set to NaN and provide a DOI or URL link to pre-launch mission specification document.</w:t>
      </w:r>
    </w:p>
    <w:bookmarkEnd w:id="232"/>
    <w:bookmarkStart w:id="233" w:name="goal-requirements-47"/>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3"/>
    <w:bookmarkStart w:id="234" w:name="assessment-47"/>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34"/>
    <w:bookmarkEnd w:id="235"/>
    <w:bookmarkStart w:id="239"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6" w:name="threshold-requirements-48"/>
    <w:p>
      <w:pPr>
        <w:pStyle w:val="berschrift5"/>
      </w:pPr>
      <w:r>
        <w:t xml:space="preserve">Threshold requirements:</w:t>
      </w:r>
    </w:p>
    <w:p>
      <w:pPr>
        <w:pStyle w:val="FirstParagraph"/>
      </w:pPr>
      <w:r>
        <w:t xml:space="preserve">Not required.</w:t>
      </w:r>
      <w:r>
        <w:t xml:space="preserve"> </w:t>
      </w:r>
    </w:p>
    <w:bookmarkEnd w:id="236"/>
    <w:bookmarkStart w:id="237" w:name="goal-requirements-48"/>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37"/>
    <w:bookmarkStart w:id="238" w:name="assessment-48"/>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38"/>
    <w:bookmarkEnd w:id="239"/>
    <w:bookmarkStart w:id="243"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0" w:name="threshold-requirements-49"/>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7"/>
        </w:numPr>
      </w:pPr>
      <w:r>
        <w:t xml:space="preserve">If a product hierarchy of resolutions exists (or is planned), the multiple resolutions should nest within each other (e.g., 12.5m, 25m, 50m, 100m, etc.), and not be disjoint.</w:t>
      </w:r>
    </w:p>
    <w:bookmarkEnd w:id="240"/>
    <w:bookmarkStart w:id="241" w:name="goal-requirements-49"/>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1"/>
    <w:bookmarkStart w:id="242" w:name="assessment-49"/>
    <w:p>
      <w:pPr>
        <w:pStyle w:val="berschrift5"/>
      </w:pPr>
      <w:r>
        <w:t xml:space="preserve">Assessment:</w:t>
      </w:r>
    </w:p>
    <w:p>
      <w:pPr>
        <w:pStyle w:val="Compact"/>
        <w:numPr>
          <w:ilvl w:val="0"/>
          <w:numId w:val="1098"/>
        </w:numPr>
      </w:pPr>
      <w:r>
        <w:t xml:space="preserve">Threshold Self-Assessment:</w:t>
      </w:r>
    </w:p>
    <w:p>
      <w:pPr>
        <w:pStyle w:val="Compact"/>
        <w:numPr>
          <w:ilvl w:val="0"/>
          <w:numId w:val="1098"/>
        </w:numPr>
      </w:pPr>
      <w:r>
        <w:t xml:space="preserve">Goal Self-Assessment:</w:t>
      </w:r>
    </w:p>
    <w:p>
      <w:pPr>
        <w:pStyle w:val="Compact"/>
        <w:numPr>
          <w:ilvl w:val="0"/>
          <w:numId w:val="1098"/>
        </w:numPr>
      </w:pPr>
      <w:r>
        <w:t xml:space="preserve">Self-Assessment Explanation/ Justification:</w:t>
      </w:r>
    </w:p>
    <w:p>
      <w:pPr>
        <w:pStyle w:val="Compact"/>
        <w:numPr>
          <w:ilvl w:val="0"/>
          <w:numId w:val="1098"/>
        </w:numPr>
      </w:pPr>
      <w:r>
        <w:t xml:space="preserve">Recommended Requirement Modification:</w:t>
      </w:r>
    </w:p>
    <w:p>
      <w:r>
        <w:br w:type="page"/>
      </w:r>
    </w:p>
    <w:bookmarkEnd w:id="242"/>
    <w:bookmarkEnd w:id="243"/>
    <w:bookmarkEnd w:id="244"/>
    <w:bookmarkEnd w:id="245"/>
    <w:bookmarkStart w:id="252" w:name="summary-self-assessment-table"/>
    <w:p>
      <w:pPr>
        <w:pStyle w:val="berschrift2"/>
      </w:pPr>
      <w:r>
        <w:t xml:space="preserve">Summary Self-Assessment Table</w:t>
      </w:r>
    </w:p>
    <w:bookmarkStart w:id="24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46"/>
    <w:bookmarkStart w:id="24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7"/>
    <w:bookmarkStart w:id="24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48"/>
    <w:bookmarkStart w:id="24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49"/>
    <w:bookmarkStart w:id="25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rcm-radtalg-appl</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0"/>
    <w:bookmarkStart w:id="25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1"/>
    <w:bookmarkEnd w:id="252"/>
    <w:bookmarkStart w:id="25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3"/>
    <w:bookmarkStart w:id="25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9"/>
        </w:numPr>
      </w:pPr>
      <w:r>
        <w:t xml:space="preserve">that product has been assessed as meeting CEOS-ARD requirements by the agency responsible for production and distribution of the product, and</w:t>
      </w:r>
    </w:p>
    <w:p>
      <w:pPr>
        <w:pStyle w:val="Compact"/>
        <w:numPr>
          <w:ilvl w:val="0"/>
          <w:numId w:val="1099"/>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5"/>
    <w:bookmarkStart w:id="25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56"/>
    <w:bookmarkStart w:id="257"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57"/>
    <w:bookmarkEnd w:id="258"/>
    <w:bookmarkStart w:id="289" w:name="references"/>
    <w:p>
      <w:pPr>
        <w:pStyle w:val="berschrift2"/>
      </w:pPr>
      <w:r>
        <w:t xml:space="preserve">References</w:t>
      </w:r>
    </w:p>
    <w:bookmarkStart w:id="288" w:name="refs"/>
    <w:bookmarkStart w:id="260"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59">
        <w:r>
          <w:rPr>
            <w:rStyle w:val="Hyperlink"/>
          </w:rPr>
          <w:t xml:space="preserve">https://doi.org/10.1109/36.499784</w:t>
        </w:r>
      </w:hyperlink>
      <w:r>
        <w:t xml:space="preserve">.</w:t>
      </w:r>
    </w:p>
    <w:bookmarkEnd w:id="260"/>
    <w:bookmarkStart w:id="262"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1">
        <w:r>
          <w:rPr>
            <w:rStyle w:val="Hyperlink"/>
          </w:rPr>
          <w:t xml:space="preserve">https://doi.org/10.1109/36.485127</w:t>
        </w:r>
      </w:hyperlink>
      <w:r>
        <w:t xml:space="preserve">.</w:t>
      </w:r>
    </w:p>
    <w:bookmarkEnd w:id="262"/>
    <w:bookmarkStart w:id="264"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63">
        <w:r>
          <w:rPr>
            <w:rStyle w:val="Hyperlink"/>
          </w:rPr>
          <w:t xml:space="preserve">https://doi.org/10.5281/zenodo.17801666</w:t>
        </w:r>
      </w:hyperlink>
      <w:r>
        <w:t xml:space="preserve">.</w:t>
      </w:r>
    </w:p>
    <w:bookmarkEnd w:id="264"/>
    <w:bookmarkStart w:id="266"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5">
        <w:r>
          <w:rPr>
            <w:rStyle w:val="Hyperlink"/>
          </w:rPr>
          <w:t xml:space="preserve">https://doi.org/10.1109/36.673687</w:t>
        </w:r>
      </w:hyperlink>
      <w:r>
        <w:t xml:space="preserve">.</w:t>
      </w:r>
    </w:p>
    <w:bookmarkEnd w:id="266"/>
    <w:bookmarkStart w:id="268"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7">
        <w:r>
          <w:rPr>
            <w:rStyle w:val="Hyperlink"/>
          </w:rPr>
          <w:t xml:space="preserve">https://doi.org/10.1080/2150704X.2012.687470</w:t>
        </w:r>
      </w:hyperlink>
      <w:r>
        <w:t xml:space="preserve">.</w:t>
      </w:r>
    </w:p>
    <w:bookmarkEnd w:id="268"/>
    <w:bookmarkStart w:id="269"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69"/>
    <w:bookmarkStart w:id="270"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70"/>
    <w:bookmarkStart w:id="271"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1"/>
    <w:bookmarkStart w:id="273"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2">
        <w:r>
          <w:rPr>
            <w:rStyle w:val="Hyperlink"/>
          </w:rPr>
          <w:t xml:space="preserve">https://doi.org/10.1109/TGRS.2008.2002881</w:t>
        </w:r>
      </w:hyperlink>
      <w:r>
        <w:t xml:space="preserve">.</w:t>
      </w:r>
    </w:p>
    <w:bookmarkEnd w:id="273"/>
    <w:bookmarkStart w:id="275"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4">
        <w:r>
          <w:rPr>
            <w:rStyle w:val="Hyperlink"/>
          </w:rPr>
          <w:t xml:space="preserve">https://doi.org/10.1029/2011JE003986</w:t>
        </w:r>
      </w:hyperlink>
      <w:r>
        <w:t xml:space="preserve">.</w:t>
      </w:r>
    </w:p>
    <w:bookmarkEnd w:id="275"/>
    <w:bookmarkStart w:id="27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6">
        <w:r>
          <w:rPr>
            <w:rStyle w:val="Hyperlink"/>
          </w:rPr>
          <w:t xml:space="preserve">https://doi.org/10.1109/TGRS.2022.3147472</w:t>
        </w:r>
      </w:hyperlink>
      <w:r>
        <w:t xml:space="preserve">.</w:t>
      </w:r>
    </w:p>
    <w:bookmarkEnd w:id="277"/>
    <w:bookmarkStart w:id="27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8">
        <w:r>
          <w:rPr>
            <w:rStyle w:val="Hyperlink"/>
          </w:rPr>
          <w:t xml:space="preserve">https://doi.org/10.1109/TGRS.2011.2120616</w:t>
        </w:r>
      </w:hyperlink>
      <w:r>
        <w:t xml:space="preserve">.</w:t>
      </w:r>
    </w:p>
    <w:bookmarkEnd w:id="279"/>
    <w:bookmarkStart w:id="281"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80">
        <w:r>
          <w:rPr>
            <w:rStyle w:val="Hyperlink"/>
          </w:rPr>
          <w:t xml:space="preserve">https://doi.org/10.1109/TGRS.2012.2233206</w:t>
        </w:r>
      </w:hyperlink>
      <w:r>
        <w:t xml:space="preserve">.</w:t>
      </w:r>
    </w:p>
    <w:bookmarkEnd w:id="281"/>
    <w:bookmarkStart w:id="283"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2">
        <w:r>
          <w:rPr>
            <w:rStyle w:val="Hyperlink"/>
          </w:rPr>
          <w:t xml:space="preserve">https://doi.org/10.1109/TGRS.2010.2099124</w:t>
        </w:r>
      </w:hyperlink>
      <w:r>
        <w:t xml:space="preserve">.</w:t>
      </w:r>
    </w:p>
    <w:bookmarkEnd w:id="283"/>
    <w:bookmarkStart w:id="285"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4">
        <w:r>
          <w:rPr>
            <w:rStyle w:val="Hyperlink"/>
          </w:rPr>
          <w:t xml:space="preserve">https://doi.org/10.1109/LGRS.2017.2753580</w:t>
        </w:r>
      </w:hyperlink>
      <w:r>
        <w:t xml:space="preserve">.</w:t>
      </w:r>
    </w:p>
    <w:bookmarkEnd w:id="285"/>
    <w:bookmarkStart w:id="287"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6">
        <w:r>
          <w:rPr>
            <w:rStyle w:val="Hyperlink"/>
          </w:rPr>
          <w:t xml:space="preserve">https://doi.org/10.1109/TGRS.2010.2051333</w:t>
        </w:r>
      </w:hyperlink>
      <w:r>
        <w:t xml:space="preserve">.</w:t>
      </w:r>
    </w:p>
    <w:bookmarkEnd w:id="287"/>
    <w:bookmarkEnd w:id="288"/>
    <w:p>
      <w:r>
        <w:br w:type="page"/>
      </w:r>
    </w:p>
    <w:bookmarkEnd w:id="289"/>
    <w:bookmarkStart w:id="313" w:name="annexes"/>
    <w:p>
      <w:pPr>
        <w:pStyle w:val="berschrift2"/>
      </w:pPr>
      <w:r>
        <w:t xml:space="preserve">Annexes</w:t>
      </w:r>
    </w:p>
    <w:bookmarkStart w:id="291"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0"/>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0"/>
        </w:numPr>
      </w:pPr>
      <w:r>
        <w:t xml:space="preserve">Apply instrument calibration to produce Beta-Nought values with high fidelity.</w:t>
      </w:r>
    </w:p>
    <w:p>
      <w:pPr>
        <w:pStyle w:val="Compact"/>
        <w:numPr>
          <w:ilvl w:val="0"/>
          <w:numId w:val="1100"/>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100"/>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100"/>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0"/>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100"/>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0"/>
        </w:numPr>
      </w:pPr>
      <w:r>
        <w:t xml:space="preserve">Generate CEOS format metadata to accompany product layers.</w:t>
      </w:r>
    </w:p>
    <w:p>
      <w:pPr>
        <w:pStyle w:val="Compact"/>
        <w:numPr>
          <w:ilvl w:val="0"/>
          <w:numId w:val="1100"/>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0"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0"/>
    <w:bookmarkEnd w:id="291"/>
    <w:bookmarkStart w:id="29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w:t>
        </w:r>
      </w:hyperlink>
      <w:r>
        <w:t xml:space="preserve"> </w:t>
      </w:r>
      <w:r>
        <w:t xml:space="preserve">for fully polarimetric data (C3) and in Eq. </w:t>
      </w:r>
      <w:hyperlink w:anchor="eq:sar-pol-covmat-eq3">
        <w:r>
          <w:rPr>
            <w:rStyle w:val="Hyperlink"/>
          </w:rPr>
          <w:t xml:space="preserve">3</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r>
                      <m:rPr>
                        <m:sty m:val="p"/>
                      </m:rPr>
                      <m:t>|</m:t>
                    </m:r>
                    <m:r>
                      <m:rPr>
                        <m:sty m:val="b"/>
                      </m:rPr>
                      <m:t>H</m:t>
                    </m:r>
                    <m:r>
                      <m:rPr>
                        <m:sty m:val="b"/>
                      </m:rPr>
                      <m:t>V</m:t>
                    </m:r>
                    <m:sSup>
                      <m:e>
                        <m:r>
                          <m:rPr>
                            <m:sty m:val="p"/>
                          </m:rPr>
                          <m:t>|</m:t>
                        </m:r>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m:t>
          </m:r>
          <m:r>
            <m:rPr>
              <m:sty m:val="p"/>
            </m:rPr>
            <m:t>)</m:t>
          </m:r>
        </m:oMath>
      </m:oMathPara>
      <w:bookmarkEnd w:id="29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r>
                      <m:rPr>
                        <m:sty m:val="p"/>
                      </m:rPr>
                      <m:t>|</m:t>
                    </m:r>
                    <m:r>
                      <m:rPr>
                        <m:sty m:val="b"/>
                      </m:rPr>
                      <m:t>H</m:t>
                    </m:r>
                    <m:r>
                      <m:rPr>
                        <m:sty m:val="b"/>
                      </m:rPr>
                      <m:t>V</m:t>
                    </m:r>
                    <m:sSup>
                      <m:e>
                        <m:r>
                          <m:rPr>
                            <m:sty m:val="p"/>
                          </m:rPr>
                          <m:t>|</m:t>
                        </m:r>
                      </m:e>
                      <m:sup>
                        <m:r>
                          <m:t>2</m:t>
                        </m:r>
                      </m:sup>
                    </m:sSup>
                  </m:e>
                </m:mr>
              </m:m>
            </m:e>
          </m:d>
          <m:r>
            <m:t>  </m:t>
          </m:r>
          <m:r>
            <m:rPr>
              <m:sty m:val="p"/>
            </m:rPr>
            <m:t>(</m:t>
          </m:r>
          <m:r>
            <m:t>2</m:t>
          </m:r>
          <m:r>
            <m:rPr>
              <m:sty m:val="p"/>
            </m:rPr>
            <m:t>)</m:t>
          </m:r>
        </m:oMath>
      </m:oMathPara>
      <w:bookmarkEnd w:id="293"/>
    </w:p>
    <w:p>
      <w:pPr>
        <w:pStyle w:val="FirstParagraph"/>
      </w:pPr>
      <w:bookmarkStart w:id="29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V</m:t>
                    </m:r>
                    <m:r>
                      <m:rPr>
                        <m:sty m:val="b"/>
                      </m:rPr>
                      <m:t>H</m:t>
                    </m:r>
                    <m:sSup>
                      <m:e>
                        <m:r>
                          <m:rPr>
                            <m:sty m:val="p"/>
                          </m:rPr>
                          <m:t>|</m:t>
                        </m:r>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3</m:t>
          </m:r>
          <m:r>
            <m:rPr>
              <m:sty m:val="p"/>
            </m:rPr>
            <m:t>)</m:t>
          </m:r>
        </m:oMath>
      </m:oMathPara>
      <w:bookmarkEnd w:id="294"/>
    </w:p>
    <w:p>
      <w:pPr>
        <w:pStyle w:val="FirstParagraph"/>
      </w:pPr>
      <w:bookmarkStart w:id="29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C</m:t>
                    </m:r>
                    <m:r>
                      <m:rPr>
                        <m:sty m:val="b"/>
                      </m:rPr>
                      <m:t>H</m:t>
                    </m:r>
                    <m:sSup>
                      <m:e>
                        <m:r>
                          <m:rPr>
                            <m:sty m:val="p"/>
                          </m:rPr>
                          <m:t>|</m:t>
                        </m:r>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r>
                      <m:rPr>
                        <m:sty m:val="p"/>
                      </m:rPr>
                      <m:t>|</m:t>
                    </m:r>
                    <m:r>
                      <m:rPr>
                        <m:sty m:val="b"/>
                      </m:rPr>
                      <m:t>C</m:t>
                    </m:r>
                    <m:r>
                      <m:rPr>
                        <m:sty m:val="b"/>
                      </m:rPr>
                      <m:t>V</m:t>
                    </m:r>
                    <m:sSup>
                      <m:e>
                        <m:r>
                          <m:rPr>
                            <m:sty m:val="p"/>
                          </m:rPr>
                          <m:t>|</m:t>
                        </m:r>
                      </m:e>
                      <m:sup>
                        <m:r>
                          <m:t>2</m:t>
                        </m:r>
                      </m:sup>
                    </m:sSup>
                  </m:e>
                </m:mr>
              </m:m>
            </m:e>
          </m:d>
          <m:r>
            <m:t>  </m:t>
          </m:r>
          <m:r>
            <m:rPr>
              <m:sty m:val="p"/>
            </m:rPr>
            <m:t>(</m:t>
          </m:r>
          <m:r>
            <m:t>4</m:t>
          </m:r>
          <m:r>
            <m:rPr>
              <m:sty m:val="p"/>
            </m:rPr>
            <m:t>)</m:t>
          </m:r>
        </m:oMath>
      </m:oMathPara>
      <w:bookmarkEnd w:id="29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w:t>
        </w:r>
      </w:hyperlink>
      <w:r>
        <w:t xml:space="preserve"> </w:t>
      </w:r>
      <w:r>
        <w:t xml:space="preserve">should be redefined as Eq. </w:t>
      </w:r>
      <w:hyperlink w:anchor="eq:sar-pol-covmat-eq5">
        <w:r>
          <w:rPr>
            <w:rStyle w:val="Hyperlink"/>
          </w:rPr>
          <w:t xml:space="preserve">5</w:t>
        </w:r>
      </w:hyperlink>
      <w:r>
        <w:t xml:space="preserve">. Users will have to take care of this non-standard representation when applying their polarimetric analytic tools. “&lt; &gt;” means that ARD matrix elements are speckle filtered. Eq. </w:t>
      </w:r>
      <w:hyperlink w:anchor="eq:sar-pol-covmat-eq5">
        <w:r>
          <w:rPr>
            <w:rStyle w:val="Hyperlink"/>
          </w:rPr>
          <w:t xml:space="preserve">5</w:t>
        </w:r>
      </w:hyperlink>
      <w:r>
        <w:t xml:space="preserve"> </w:t>
      </w:r>
      <w:r>
        <w:t xml:space="preserve">is valid both for dual-linear and fully polarimetric dataquad polarization.</w:t>
      </w:r>
    </w:p>
    <w:p>
      <w:pPr>
        <w:pStyle w:val="Textkrper"/>
      </w:pPr>
      <w:bookmarkStart w:id="29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r>
                      <m:rPr>
                        <m:sty m:val="b"/>
                      </m:rPr>
                      <m:t>H</m:t>
                    </m:r>
                    <m:r>
                      <m:rPr>
                        <m:sty m:val="b"/>
                      </m:rPr>
                      <m:t>H</m:t>
                    </m:r>
                    <m:sSup>
                      <m:e>
                        <m:r>
                          <m:rPr>
                            <m:sty m:val="p"/>
                          </m:rPr>
                          <m:t>|</m:t>
                        </m:r>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r>
                      <m:rPr>
                        <m:sty m:val="p"/>
                      </m:rPr>
                      <m:t>|</m:t>
                    </m:r>
                    <m:r>
                      <m:rPr>
                        <m:sty m:val="b"/>
                      </m:rPr>
                      <m:t>H</m:t>
                    </m:r>
                    <m:r>
                      <m:rPr>
                        <m:sty m:val="b"/>
                      </m:rPr>
                      <m:t>V</m:t>
                    </m:r>
                    <m:sSup>
                      <m:e>
                        <m:r>
                          <m:rPr>
                            <m:sty m:val="p"/>
                          </m:rPr>
                          <m:t>|</m:t>
                        </m:r>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r>
                      <m:rPr>
                        <m:sty m:val="p"/>
                      </m:rPr>
                      <m:t>|</m:t>
                    </m:r>
                    <m:r>
                      <m:rPr>
                        <m:sty m:val="b"/>
                      </m:rPr>
                      <m:t>V</m:t>
                    </m:r>
                    <m:r>
                      <m:rPr>
                        <m:sty m:val="b"/>
                      </m:rPr>
                      <m:t>V</m:t>
                    </m:r>
                    <m:sSup>
                      <m:e>
                        <m:r>
                          <m:rPr>
                            <m:sty m:val="p"/>
                          </m:rPr>
                          <m:t>|</m:t>
                        </m:r>
                      </m:e>
                      <m:sup>
                        <m:r>
                          <m:t>2</m:t>
                        </m:r>
                      </m:sup>
                    </m:sSup>
                    <m:r>
                      <m:rPr>
                        <m:sty m:val="p"/>
                      </m:rPr>
                      <m:t>⟩</m:t>
                    </m:r>
                  </m:e>
                </m:mr>
              </m:m>
            </m:e>
          </m:d>
          <m:r>
            <m:t>  </m:t>
          </m:r>
          <m:r>
            <m:rPr>
              <m:sty m:val="p"/>
            </m:rPr>
            <m:t>(</m:t>
          </m:r>
          <m:r>
            <m:t>5</m:t>
          </m:r>
          <m:r>
            <m:rPr>
              <m:sty m:val="p"/>
            </m:rPr>
            <m:t>)</m:t>
          </m:r>
        </m:oMath>
      </m:oMathPara>
      <w:bookmarkEnd w:id="29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6</w:t>
        </w:r>
      </w:hyperlink>
      <w:r>
        <w:t xml:space="preserve">) permit faster and more intuitive RGB visualizations (R=RR, G=RR/(RR+RL), B= RL).</w:t>
      </w:r>
    </w:p>
    <w:p>
      <w:pPr>
        <w:pStyle w:val="Textkrper"/>
      </w:pPr>
      <w:bookmarkStart w:id="29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rPr>
                        <m:sty m:val="b"/>
                      </m:rPr>
                      <m:t>R</m:t>
                    </m:r>
                    <m:r>
                      <m:rPr>
                        <m:sty m:val="b"/>
                      </m:rPr>
                      <m:t>R</m:t>
                    </m:r>
                    <m:sSup>
                      <m:e>
                        <m:r>
                          <m:rPr>
                            <m:sty m:val="p"/>
                          </m:rPr>
                          <m:t>|</m:t>
                        </m:r>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r>
                      <m:rPr>
                        <m:sty m:val="p"/>
                      </m:rPr>
                      <m:t>|</m:t>
                    </m:r>
                    <m:r>
                      <m:rPr>
                        <m:sty m:val="b"/>
                      </m:rPr>
                      <m:t>R</m:t>
                    </m:r>
                    <m:r>
                      <m:rPr>
                        <m:sty m:val="b"/>
                      </m:rPr>
                      <m:t>L</m:t>
                    </m:r>
                    <m:sSup>
                      <m:e>
                        <m:r>
                          <m:rPr>
                            <m:sty m:val="p"/>
                          </m:rPr>
                          <m:t>|</m:t>
                        </m:r>
                      </m:e>
                      <m:sup>
                        <m:r>
                          <m:t>2</m:t>
                        </m:r>
                      </m:sup>
                    </m:sSup>
                    <m:r>
                      <m:rPr>
                        <m:sty m:val="p"/>
                      </m:rPr>
                      <m:t>⟩</m:t>
                    </m:r>
                  </m:e>
                </m:mr>
              </m:m>
            </m:e>
          </m:d>
          <m:r>
            <m:t>  </m:t>
          </m:r>
          <m:r>
            <m:rPr>
              <m:sty m:val="p"/>
            </m:rPr>
            <m:t>(</m:t>
          </m:r>
          <m:r>
            <m:t>6</m:t>
          </m:r>
          <m:r>
            <m:rPr>
              <m:sty m:val="p"/>
            </m:rPr>
            <m:t>)</m:t>
          </m:r>
        </m:oMath>
      </m:oMathPara>
      <w:bookmarkEnd w:id="297"/>
    </w:p>
    <w:bookmarkEnd w:id="298"/>
    <w:bookmarkStart w:id="303"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00"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pStyle w:val="Compact"/>
        <w:numPr>
          <w:ilvl w:val="0"/>
          <w:numId w:val="1101"/>
        </w:numPr>
      </w:pPr>
      <w:r>
        <w:t xml:space="preserve">Pauli decomposition (3 layers)</w:t>
      </w:r>
    </w:p>
    <w:p>
      <w:pPr>
        <w:pStyle w:val="Compact"/>
        <w:numPr>
          <w:ilvl w:val="0"/>
          <w:numId w:val="1102"/>
        </w:numPr>
      </w:pPr>
      <m:oMath>
        <m:r>
          <m:rPr>
            <m:sty m:val="p"/>
          </m:rPr>
          <m:t>|</m:t>
        </m:r>
        <m:r>
          <m:t>α</m:t>
        </m:r>
        <m:sSup>
          <m:e>
            <m:r>
              <m:rPr>
                <m:sty m:val="p"/>
              </m:rPr>
              <m:t>|</m:t>
            </m:r>
          </m:e>
          <m:sup>
            <m:r>
              <m:t>2</m:t>
            </m:r>
          </m:sup>
        </m:sSup>
      </m:oMath>
      <w:r>
        <w:t xml:space="preserve">: sphere (odd-bounce interaction) [Intensity]</w:t>
      </w:r>
    </w:p>
    <w:p>
      <w:pPr>
        <w:pStyle w:val="Compact"/>
        <w:numPr>
          <w:ilvl w:val="0"/>
          <w:numId w:val="1102"/>
        </w:numPr>
      </w:pPr>
      <m:oMath>
        <m:r>
          <m:rPr>
            <m:sty m:val="p"/>
          </m:rPr>
          <m:t>|</m:t>
        </m:r>
        <m:r>
          <m:t>β</m:t>
        </m:r>
        <m:sSup>
          <m:e>
            <m:r>
              <m:rPr>
                <m:sty m:val="p"/>
              </m:rPr>
              <m:t>|</m:t>
            </m:r>
          </m:e>
          <m:sup>
            <m:r>
              <m:t>2</m:t>
            </m:r>
          </m:sup>
        </m:sSup>
      </m:oMath>
      <w:r>
        <w:t xml:space="preserve">: 0° diplane (even-bounce interaction) [Intensity]</w:t>
      </w:r>
    </w:p>
    <w:p>
      <w:pPr>
        <w:pStyle w:val="Compact"/>
        <w:numPr>
          <w:ilvl w:val="0"/>
          <w:numId w:val="1102"/>
        </w:numPr>
      </w:pPr>
      <m:oMath>
        <m:r>
          <m:rPr>
            <m:sty m:val="p"/>
          </m:rPr>
          <m:t>|</m:t>
        </m:r>
        <m:r>
          <m:t>γ</m:t>
        </m:r>
        <m:sSup>
          <m:e>
            <m:r>
              <m:rPr>
                <m:sty m:val="p"/>
              </m:rPr>
              <m:t>|</m:t>
            </m:r>
          </m:e>
          <m:sup>
            <m:r>
              <m:t>2</m:t>
            </m:r>
          </m:sup>
        </m:sSup>
      </m:oMath>
      <w:r>
        <w:t xml:space="preserve">: 45° diplane (volumetric interaction) [Intensity]</w:t>
      </w:r>
    </w:p>
    <w:p>
      <w:pPr>
        <w:pStyle w:val="Compact"/>
        <w:numPr>
          <w:ilvl w:val="0"/>
          <w:numId w:val="1103"/>
        </w:numPr>
      </w:pPr>
      <w:r>
        <w:t xml:space="preserve">Krogager decomposition (5 layers)</w:t>
      </w:r>
      <w:r>
        <w:t xml:space="preserve"> </w:t>
      </w:r>
      <w:r>
        <w:t xml:space="preserve">(</w:t>
      </w:r>
      <w:hyperlink w:anchor="ref-krogager1993">
        <w:r>
          <w:rPr>
            <w:rStyle w:val="Hyperlink"/>
          </w:rPr>
          <w:t xml:space="preserve">Krogager et al. 1993</w:t>
        </w:r>
      </w:hyperlink>
      <w:r>
        <w:t xml:space="preserve">)</w:t>
      </w:r>
    </w:p>
    <w:p>
      <w:pPr>
        <w:pStyle w:val="Compact"/>
        <w:numPr>
          <w:ilvl w:val="0"/>
          <w:numId w:val="1104"/>
        </w:numPr>
      </w:pPr>
      <m:oMath>
        <m:r>
          <m:rPr>
            <m:sty m:val="p"/>
          </m:rPr>
          <m:t>|</m:t>
        </m:r>
        <m:sSub>
          <m:e>
            <m:r>
              <m:t>κ</m:t>
            </m:r>
          </m:e>
          <m:sub>
            <m:r>
              <m:t>σ</m:t>
            </m:r>
          </m:sub>
        </m:sSub>
        <m:sSup>
          <m:e>
            <m:r>
              <m:rPr>
                <m:sty m:val="p"/>
              </m:rPr>
              <m:t>|</m:t>
            </m:r>
          </m:e>
          <m:sup>
            <m:r>
              <m:t>2</m:t>
            </m:r>
          </m:sup>
        </m:sSup>
      </m:oMath>
      <w:r>
        <w:t xml:space="preserve"> </w:t>
      </w:r>
      <w:r>
        <w:t xml:space="preserve">: sphere (odd-bounce interaction) [Intensity]</w:t>
      </w:r>
    </w:p>
    <w:p>
      <w:pPr>
        <w:pStyle w:val="Compact"/>
        <w:numPr>
          <w:ilvl w:val="0"/>
          <w:numId w:val="1104"/>
        </w:numPr>
      </w:pPr>
      <m:oMath>
        <m:r>
          <m:rPr>
            <m:sty m:val="p"/>
          </m:rPr>
          <m:t>|</m:t>
        </m:r>
        <m:sSub>
          <m:e>
            <m:r>
              <m:t>κ</m:t>
            </m:r>
          </m:e>
          <m:sub>
            <m:r>
              <m:t>δ</m:t>
            </m:r>
          </m:sub>
        </m:sSub>
        <m:sSup>
          <m:e>
            <m:r>
              <m:rPr>
                <m:sty m:val="p"/>
              </m:rPr>
              <m:t>|</m:t>
            </m:r>
          </m:e>
          <m:sup>
            <m:r>
              <m:t>2</m:t>
            </m:r>
          </m:sup>
        </m:sSup>
      </m:oMath>
      <w:r>
        <w:t xml:space="preserve"> </w:t>
      </w:r>
      <w:r>
        <w:t xml:space="preserve">: diplane (odd-bounce interaction) [Intensity]</w:t>
      </w:r>
    </w:p>
    <w:p>
      <w:pPr>
        <w:pStyle w:val="Compact"/>
        <w:numPr>
          <w:ilvl w:val="0"/>
          <w:numId w:val="1104"/>
        </w:numPr>
      </w:pPr>
      <m:oMath>
        <m:r>
          <m:rPr>
            <m:sty m:val="p"/>
          </m:rPr>
          <m:t>|</m:t>
        </m:r>
        <m:sSub>
          <m:e>
            <m:r>
              <m:t>κ</m:t>
            </m:r>
          </m:e>
          <m:sub>
            <m:r>
              <m:t>η</m:t>
            </m:r>
          </m:sub>
        </m:sSub>
        <m:sSup>
          <m:e>
            <m:r>
              <m:rPr>
                <m:sty m:val="p"/>
              </m:rPr>
              <m:t>|</m:t>
            </m:r>
          </m:e>
          <m:sup>
            <m:r>
              <m:t>2</m:t>
            </m:r>
          </m:sup>
        </m:sSup>
      </m:oMath>
      <w:r>
        <w:t xml:space="preserve"> </w:t>
      </w:r>
      <w:r>
        <w:t xml:space="preserve">: helix [Intensity]</w:t>
      </w:r>
    </w:p>
    <w:p>
      <w:pPr>
        <w:pStyle w:val="Compact"/>
        <w:numPr>
          <w:ilvl w:val="0"/>
          <w:numId w:val="1104"/>
        </w:numPr>
      </w:pPr>
      <m:oMath>
        <m:r>
          <m:t>θ</m:t>
        </m:r>
      </m:oMath>
      <w:r>
        <w:t xml:space="preserve">: orientation angle [degrees]</w:t>
      </w:r>
    </w:p>
    <w:p>
      <w:pPr>
        <w:pStyle w:val="Compact"/>
        <w:numPr>
          <w:ilvl w:val="0"/>
          <w:numId w:val="1104"/>
        </w:numPr>
      </w:pPr>
      <m:oMath>
        <m:sSub>
          <m:e>
            <m:r>
              <m:rPr>
                <m:sty m:val="p"/>
              </m:rPr>
              <m:t>Φ</m:t>
            </m:r>
          </m:e>
          <m:sub>
            <m:r>
              <m:t>s</m:t>
            </m:r>
          </m:sub>
        </m:sSub>
      </m:oMath>
      <w:r>
        <w:t xml:space="preserve">: sphere to diplane angle [degrees]</w:t>
      </w:r>
    </w:p>
    <w:p>
      <w:pPr>
        <w:pStyle w:val="Compact"/>
        <w:numPr>
          <w:ilvl w:val="0"/>
          <w:numId w:val="1105"/>
        </w:numPr>
      </w:pPr>
      <w:r>
        <w:t xml:space="preserve">Cameron (nine classes) – non-dimensional layers</w:t>
      </w:r>
      <w:r>
        <w:t xml:space="preserve"> </w:t>
      </w:r>
      <w:r>
        <w:t xml:space="preserve">(</w:t>
      </w:r>
      <w:hyperlink w:anchor="ref-cameron1996">
        <w:r>
          <w:rPr>
            <w:rStyle w:val="Hyperlink"/>
          </w:rPr>
          <w:t xml:space="preserve">Cameron et al. 1996</w:t>
        </w:r>
      </w:hyperlink>
      <w:r>
        <w:t xml:space="preserve">)</w:t>
      </w:r>
    </w:p>
    <w:bookmarkStart w:id="299" w:name="tbl:sar-pol-prd-tbl1"/>
    <w:p>
      <w:pPr>
        <w:pStyle w:val="TableCaption"/>
      </w:pPr>
      <w:r>
        <w:t xml:space="preserve">Table 2: Elementary objects of known scattering signature</w:t>
      </w:r>
    </w:p>
    <w:tbl>
      <w:tblPr>
        <w:tblStyle w:val="Table"/>
        <w:tblW w:type="auto" w:w="0"/>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299"/>
    <w:bookmarkEnd w:id="300"/>
    <w:bookmarkStart w:id="302"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pStyle w:val="Compact"/>
        <w:numPr>
          <w:ilvl w:val="0"/>
          <w:numId w:val="1106"/>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01" w:name="tbl:sar-pol-prd-tbl2"/>
    <w:p>
      <w:pPr>
        <w:pStyle w:val="TableCaption"/>
      </w:pPr>
      <w:r>
        <w:t xml:space="preserve">Table 3: Incoherent Decompositions: Freeman-Durden, Yamaguchi, m-chi</w:t>
      </w:r>
    </w:p>
    <w:tbl>
      <w:tblPr>
        <w:tblStyle w:val="Table"/>
        <w:tblW w:type="auto" w:w="0"/>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01"/>
    <w:p>
      <w:pPr>
        <w:pStyle w:val="Compact"/>
        <w:numPr>
          <w:ilvl w:val="0"/>
          <w:numId w:val="1107"/>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0"/>
          <w:numId w:val="1108"/>
        </w:numPr>
      </w:pPr>
      <m:oMath>
        <m:r>
          <m:t>H</m:t>
        </m:r>
      </m:oMath>
      <w:r>
        <w:t xml:space="preserve"> </w:t>
      </w:r>
      <w:r>
        <w:t xml:space="preserve">: Entropy [ ] is the polarization diversity</w:t>
      </w:r>
    </w:p>
    <w:p>
      <w:pPr>
        <w:pStyle w:val="Compact"/>
        <w:numPr>
          <w:ilvl w:val="0"/>
          <w:numId w:val="1108"/>
        </w:numPr>
      </w:pPr>
      <m:oMath>
        <m:r>
          <m:t>A</m:t>
        </m:r>
      </m:oMath>
      <w:r>
        <w:t xml:space="preserve"> </w:t>
      </w:r>
      <w:r>
        <w:t xml:space="preserve">: Anisotropy [ ] is weighted difference between the 2ⁿᵈ and 3ʳᵈ eigenvalues</w:t>
      </w:r>
    </w:p>
    <w:p>
      <w:pPr>
        <w:pStyle w:val="Compact"/>
        <w:numPr>
          <w:ilvl w:val="0"/>
          <w:numId w:val="1108"/>
        </w:numPr>
      </w:pPr>
      <m:oMath>
        <m:r>
          <m:t>α</m:t>
        </m:r>
      </m:oMath>
      <w:r>
        <w:t xml:space="preserve"> </w:t>
      </w:r>
      <w:r>
        <w:t xml:space="preserve">: Odd-even bounce angle [Degrees]</w:t>
      </w:r>
    </w:p>
    <w:p>
      <w:pPr>
        <w:pStyle w:val="Compact"/>
        <w:numPr>
          <w:ilvl w:val="0"/>
          <w:numId w:val="1108"/>
        </w:numPr>
      </w:pPr>
      <m:oMath>
        <m:r>
          <m:t>β</m:t>
        </m:r>
      </m:oMath>
      <w:r>
        <w:t xml:space="preserve"> </w:t>
      </w:r>
      <w:r>
        <w:t xml:space="preserve">: orientation angle [Degrees]</w:t>
      </w:r>
    </w:p>
    <w:bookmarkEnd w:id="302"/>
    <w:bookmarkEnd w:id="303"/>
    <w:bookmarkStart w:id="312"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07"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05" name="Picture"/>
            <a:graphic>
              <a:graphicData uri="http://schemas.openxmlformats.org/drawingml/2006/picture">
                <pic:pic>
                  <pic:nvPicPr>
                    <pic:cNvPr descr="assets/sar-pol-examples/pol-decomposition.jpeg" id="306" name="Picture"/>
                    <pic:cNvPicPr>
                      <a:picLocks noChangeArrowheads="1" noChangeAspect="1"/>
                    </pic:cNvPicPr>
                  </pic:nvPicPr>
                  <pic:blipFill>
                    <a:blip r:embed="rId304"/>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07"/>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11"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09" name="Picture"/>
            <a:graphic>
              <a:graphicData uri="http://schemas.openxmlformats.org/drawingml/2006/picture">
                <pic:pic>
                  <pic:nvPicPr>
                    <pic:cNvPr descr="assets/sar-pol-examples/m-chi-decomposition.jpeg" id="310" name="Picture"/>
                    <pic:cNvPicPr>
                      <a:picLocks noChangeArrowheads="1" noChangeAspect="1"/>
                    </pic:cNvPicPr>
                  </pic:nvPicPr>
                  <pic:blipFill>
                    <a:blip r:embed="rId308"/>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11"/>
    <w:bookmarkEnd w:id="312"/>
    <w:bookmarkEnd w:id="313"/>
    <w:bookmarkEnd w:id="314"/>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 w:numId="11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08" Target="media/rId308.jpg" /><Relationship Type="http://schemas.openxmlformats.org/officeDocument/2006/relationships/image" Id="rId304" Target="media/rId304.jpg" /><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1" Target="https://doi.org/10.1109/36.485127" TargetMode="External" /><Relationship Type="http://schemas.openxmlformats.org/officeDocument/2006/relationships/hyperlink" Id="rId259"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63"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1" Target="https://doi.org/10.1109/36.485127" TargetMode="External" /><Relationship Type="http://schemas.openxmlformats.org/officeDocument/2006/relationships/hyperlink" Id="rId259"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63"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3.6.0-draft</dc:title>
  <dc:creator/>
  <dc:language>en</dc:language>
  <cp:keywords/>
  <dcterms:created xsi:type="dcterms:W3CDTF">2026-08-18T12:56:54Z</dcterms:created>
  <dcterms:modified xsi:type="dcterms:W3CDTF">2026-08-18T12:56:54Z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