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21.jpg" ContentType="image/jpeg"/>
  <Override PartName="/word/media/rId3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7" w:name="X585353d8aec71e32101508c22c1e4e52b36bb22"/>
    <w:p>
      <w:pPr>
        <w:pStyle w:val="berschrift1"/>
      </w:pPr>
      <w:r>
        <w:t xml:space="preserve">CEOS-ARD - Synthetic Aperture Radar - Polarimetric Radar</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p>
      <w:pPr>
        <w:pStyle w:val="Textkrper"/>
      </w:pPr>
      <w:r>
        <w:rPr>
          <w:b/>
          <w:bCs/>
          <w:i/>
          <w:iCs/>
        </w:rPr>
        <w:t xml:space="preserve">Notice and Limitations:</w:t>
      </w:r>
    </w:p>
    <w:p>
      <w:pPr>
        <w:pStyle w:val="Textkrper"/>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32"/>
    <w:bookmarkStart w:id="33"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3"/>
    <w:bookmarkStart w:id="25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8"/>
    <w:bookmarkStart w:id="39"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2"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2"/>
    <w:bookmarkStart w:id="43" w:name="goal-requirements-2"/>
    <w:p>
      <w:pPr>
        <w:pStyle w:val="berschrift5"/>
      </w:pPr>
      <w:r>
        <w:t xml:space="preserve">Goal requirements:</w:t>
      </w:r>
    </w:p>
    <w:p>
      <w:pPr>
        <w:pStyle w:val="FirstParagraph"/>
      </w:pPr>
      <w:r>
        <w:t xml:space="preserve">As threshold.</w:t>
      </w:r>
      <w:r>
        <w:t xml:space="preserve"> </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6" w:name="threshold-requirements-3"/>
    <w:p>
      <w:pPr>
        <w:pStyle w:val="berschrift5"/>
      </w:pPr>
      <w:r>
        <w:t xml:space="preserve">Threshold requirements:</w:t>
      </w:r>
    </w:p>
    <w:p>
      <w:pPr>
        <w:pStyle w:val="FirstParagraph"/>
      </w:pPr>
      <w:r>
        <w:t xml:space="preserve">Reference to CEOS-ARD PFS document as URL.</w:t>
      </w:r>
    </w:p>
    <w:bookmarkEnd w:id="46"/>
    <w:bookmarkStart w:id="47" w:name="goal-requirements-3"/>
    <w:p>
      <w:pPr>
        <w:pStyle w:val="berschrift5"/>
      </w:pPr>
      <w:r>
        <w:t xml:space="preserve">Goal requirements:</w:t>
      </w:r>
    </w:p>
    <w:p>
      <w:pPr>
        <w:pStyle w:val="FirstParagraph"/>
      </w:pPr>
      <w:r>
        <w:t xml:space="preserve">As threshold.</w:t>
      </w:r>
      <w:r>
        <w:t xml:space="preserve"> </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0"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2"/>
    <w:bookmarkEnd w:id="53"/>
    <w:bookmarkEnd w:id="54"/>
    <w:bookmarkStart w:id="109"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8"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5"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5"/>
    <w:bookmarkStart w:id="56" w:name="goal-requirements-5"/>
    <w:p>
      <w:pPr>
        <w:pStyle w:val="berschrift5"/>
      </w:pPr>
      <w:r>
        <w:t xml:space="preserve">Goal requirements:</w:t>
      </w:r>
    </w:p>
    <w:p>
      <w:pPr>
        <w:pStyle w:val="FirstParagraph"/>
      </w:pPr>
      <w:r>
        <w:t xml:space="preserve">As threshold.</w:t>
      </w:r>
      <w:r>
        <w:t xml:space="preserve"> </w:t>
      </w:r>
    </w:p>
    <w:bookmarkEnd w:id="56"/>
    <w:bookmarkStart w:id="57"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9"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9"/>
    <w:bookmarkStart w:id="60"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0"/>
    <w:bookmarkStart w:id="61"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7"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3"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3"/>
    <w:bookmarkStart w:id="65" w:name="goal-requirements-7"/>
    <w:p>
      <w:pPr>
        <w:pStyle w:val="berschrift5"/>
      </w:pPr>
      <w:r>
        <w:t xml:space="preserve">Goal requirements:</w:t>
      </w:r>
    </w:p>
    <w:p>
      <w:pPr>
        <w:pStyle w:val="FirstParagraph"/>
      </w:pPr>
      <w:r>
        <w:t xml:space="preserve">As threshold, but including a reference to the relevant</w:t>
      </w:r>
      <w:r>
        <w:t xml:space="preserve"> </w:t>
      </w:r>
      <w:hyperlink r:id="rId64">
        <w:r>
          <w:rPr>
            <w:rStyle w:val="Hyperlink"/>
          </w:rPr>
          <w:t xml:space="preserve">CEOS Missions, Instruments and Measurements Database</w:t>
        </w:r>
      </w:hyperlink>
      <w:r>
        <w:t xml:space="preserve"> </w:t>
      </w:r>
      <w:r>
        <w:t xml:space="preserve">record.</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8"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8"/>
    <w:bookmarkStart w:id="69" w:name="goal-requirements-8"/>
    <w:p>
      <w:pPr>
        <w:pStyle w:val="berschrift5"/>
      </w:pPr>
      <w:r>
        <w:t xml:space="preserve">Goal requirements:</w:t>
      </w:r>
    </w:p>
    <w:p>
      <w:pPr>
        <w:pStyle w:val="FirstParagraph"/>
      </w:pPr>
      <w:r>
        <w:t xml:space="preserve">As threshold.</w:t>
      </w:r>
      <w:r>
        <w:t xml:space="preserve"> </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2"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2"/>
    <w:bookmarkStart w:id="73" w:name="goal-requirements-9"/>
    <w:p>
      <w:pPr>
        <w:pStyle w:val="berschrift5"/>
      </w:pPr>
      <w:r>
        <w:t xml:space="preserve">Goal requirements:</w:t>
      </w:r>
    </w:p>
    <w:p>
      <w:pPr>
        <w:pStyle w:val="FirstParagraph"/>
      </w:pPr>
      <w:r>
        <w:t xml:space="preserve">As threshold.</w:t>
      </w:r>
      <w:r>
        <w:t xml:space="preserve"> </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80"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7"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6"/>
      </w:r>
    </w:p>
    <w:p>
      <w:pPr>
        <w:pStyle w:val="Compact"/>
        <w:numPr>
          <w:ilvl w:val="0"/>
          <w:numId w:val="1016"/>
        </w:numPr>
      </w:pPr>
      <w:r>
        <w:t xml:space="preserve">Orbit data source (e.g., predicted, definite, precise, downlinked, etc.)</w:t>
      </w:r>
    </w:p>
    <w:bookmarkEnd w:id="77"/>
    <w:bookmarkStart w:id="78"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8"/>
    <w:bookmarkStart w:id="79"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9"/>
    <w:bookmarkEnd w:id="80"/>
    <w:bookmarkStart w:id="84"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1"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1"/>
    <w:bookmarkStart w:id="82"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2"/>
    <w:bookmarkStart w:id="83"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5"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5"/>
    <w:bookmarkStart w:id="86"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9" w:name="threshold-requirements-13"/>
    <w:p>
      <w:pPr>
        <w:pStyle w:val="berschrift5"/>
      </w:pPr>
      <w:r>
        <w:t xml:space="preserve">Threshold requirements:</w:t>
      </w:r>
    </w:p>
    <w:p>
      <w:pPr>
        <w:pStyle w:val="FirstParagraph"/>
      </w:pPr>
      <w:r>
        <w:t xml:space="preserve">Not required.</w:t>
      </w:r>
      <w:r>
        <w:t xml:space="preserve"> </w:t>
      </w:r>
    </w:p>
    <w:bookmarkEnd w:id="89"/>
    <w:bookmarkStart w:id="90"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0"/>
    <w:bookmarkStart w:id="91"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5"/>
    <w:p>
      <w:pPr>
        <w:pStyle w:val="berschrift5"/>
      </w:pPr>
      <w:r>
        <w:t xml:space="preserve">Threshold requirements:</w:t>
      </w:r>
    </w:p>
    <w:p>
      <w:pPr>
        <w:pStyle w:val="FirstParagraph"/>
      </w:pPr>
      <w:r>
        <w:t xml:space="preserve">Not required.</w:t>
      </w:r>
      <w:r>
        <w:t xml:space="preserve"> </w:t>
      </w:r>
    </w:p>
    <w:bookmarkEnd w:id="97"/>
    <w:bookmarkStart w:id="98"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9"/>
    <w:bookmarkEnd w:id="100"/>
    <w:bookmarkStart w:id="104"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2"/>
    <w:bookmarkStart w:id="103"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3"/>
    <w:bookmarkEnd w:id="104"/>
    <w:bookmarkStart w:id="108"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5" w:name="threshold-requirements-17"/>
    <w:p>
      <w:pPr>
        <w:pStyle w:val="berschrift5"/>
      </w:pPr>
      <w:r>
        <w:t xml:space="preserve">Threshold requirements:</w:t>
      </w:r>
    </w:p>
    <w:p>
      <w:pPr>
        <w:pStyle w:val="FirstParagraph"/>
      </w:pPr>
      <w:r>
        <w:t xml:space="preserve">Not required.</w:t>
      </w:r>
      <w:r>
        <w:t xml:space="preserve"> </w:t>
      </w:r>
    </w:p>
    <w:bookmarkEnd w:id="105"/>
    <w:bookmarkStart w:id="106"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6"/>
    <w:bookmarkStart w:id="107"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7"/>
    <w:bookmarkEnd w:id="108"/>
    <w:bookmarkEnd w:id="109"/>
    <w:bookmarkStart w:id="158"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3"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0"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0"/>
    <w:bookmarkStart w:id="111"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1"/>
    <w:bookmarkStart w:id="112"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2"/>
    <w:bookmarkEnd w:id="113"/>
    <w:bookmarkStart w:id="117"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4" w:name="threshold-requirements-19"/>
    <w:p>
      <w:pPr>
        <w:pStyle w:val="berschrift5"/>
      </w:pPr>
      <w:r>
        <w:t xml:space="preserve">Threshold requirements:</w:t>
      </w:r>
    </w:p>
    <w:p>
      <w:pPr>
        <w:pStyle w:val="FirstParagraph"/>
      </w:pPr>
      <w:r>
        <w:t xml:space="preserve">Not required.</w:t>
      </w:r>
      <w:r>
        <w:t xml:space="preserve"> </w:t>
      </w:r>
    </w:p>
    <w:bookmarkEnd w:id="114"/>
    <w:bookmarkStart w:id="115"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5"/>
    <w:bookmarkStart w:id="116"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6"/>
    <w:bookmarkEnd w:id="117"/>
    <w:bookmarkStart w:id="121"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8"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2" w:name="threshold-requirements-21"/>
    <w:p>
      <w:pPr>
        <w:pStyle w:val="berschrift5"/>
      </w:pPr>
      <w:r>
        <w:t xml:space="preserve">Threshold requirements:</w:t>
      </w:r>
    </w:p>
    <w:p>
      <w:pPr>
        <w:pStyle w:val="FirstParagraph"/>
      </w:pPr>
      <w:r>
        <w:t xml:space="preserve">Not required.</w:t>
      </w:r>
      <w:r>
        <w:t xml:space="preserve"> </w:t>
      </w:r>
    </w:p>
    <w:bookmarkEnd w:id="122"/>
    <w:bookmarkStart w:id="123" w:name="goal-requirements-21"/>
    <w:p>
      <w:pPr>
        <w:pStyle w:val="berschrift5"/>
      </w:pPr>
      <w:r>
        <w:t xml:space="preserve">Goal requirements:</w:t>
      </w:r>
    </w:p>
    <w:p>
      <w:pPr>
        <w:pStyle w:val="FirstParagraph"/>
      </w:pPr>
      <w:r>
        <w:t xml:space="preserve">Equivalent Number of Looks (ENL)</w:t>
      </w:r>
    </w:p>
    <w:bookmarkEnd w:id="123"/>
    <w:bookmarkStart w:id="124"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rd-spekfil-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prd-spekfil-pol</w:t>
      </w:r>
    </w:p>
    <w:bookmarkStart w:id="130"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p>
      <w:pPr>
        <w:pStyle w:val="FirstParagraph"/>
      </w:pPr>
      <w:r>
        <w:t xml:space="preserve">Advanced polarimetric filter preserving covariance matrix properties should be applied.</w:t>
      </w:r>
    </w:p>
    <w:bookmarkEnd w:id="130"/>
    <w:bookmarkStart w:id="131" w:name="goal-requirements-23"/>
    <w:p>
      <w:pPr>
        <w:pStyle w:val="berschrift5"/>
      </w:pPr>
      <w:r>
        <w:t xml:space="preserve">Goal requirements:</w:t>
      </w:r>
    </w:p>
    <w:p>
      <w:pPr>
        <w:pStyle w:val="FirstParagraph"/>
      </w:pPr>
      <w:r>
        <w:t xml:space="preserve">As threshold.</w:t>
      </w:r>
      <w:r>
        <w:t xml:space="preserve"> </w:t>
      </w:r>
    </w:p>
    <w:bookmarkEnd w:id="131"/>
    <w:bookmarkStart w:id="132"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2"/>
    <w:bookmarkEnd w:id="133"/>
    <w:bookmarkStart w:id="137"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4"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6"/>
    <w:bookmarkEnd w:id="137"/>
    <w:bookmarkStart w:id="141"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8"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0"/>
    <w:bookmarkEnd w:id="141"/>
    <w:bookmarkStart w:id="145"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2"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4"/>
    <w:bookmarkEnd w:id="145"/>
    <w:bookmarkStart w:id="149"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6"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6"/>
    <w:bookmarkStart w:id="147" w:name="goal-requirements-27"/>
    <w:p>
      <w:pPr>
        <w:pStyle w:val="berschrift5"/>
      </w:pPr>
      <w:r>
        <w:t xml:space="preserve">Goal requirements:</w:t>
      </w:r>
    </w:p>
    <w:p>
      <w:pPr>
        <w:pStyle w:val="FirstParagraph"/>
      </w:pPr>
      <w:r>
        <w:t xml:space="preserve">As threshold.</w:t>
      </w:r>
      <w:r>
        <w:t xml:space="preserve"> </w:t>
      </w:r>
    </w:p>
    <w:bookmarkEnd w:id="147"/>
    <w:bookmarkStart w:id="148"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8"/>
    <w:bookmarkEnd w:id="149"/>
    <w:bookmarkStart w:id="153"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0"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0"/>
    <w:bookmarkStart w:id="151" w:name="goal-requirements-28"/>
    <w:p>
      <w:pPr>
        <w:pStyle w:val="berschrift5"/>
      </w:pPr>
      <w:r>
        <w:t xml:space="preserve">Goal requirements:</w:t>
      </w:r>
    </w:p>
    <w:p>
      <w:pPr>
        <w:pStyle w:val="FirstParagraph"/>
      </w:pPr>
      <w:r>
        <w:t xml:space="preserve">As threshold.</w:t>
      </w:r>
      <w:r>
        <w:t xml:space="preserve"> </w:t>
      </w:r>
    </w:p>
    <w:bookmarkEnd w:id="151"/>
    <w:bookmarkStart w:id="152"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2"/>
    <w:bookmarkEnd w:id="153"/>
    <w:bookmarkStart w:id="157"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 Only when Flattened phase per-pixel metadata (see Section </w:t>
      </w:r>
      <w:r>
        <w:rPr>
          <w:b/>
          <w:bCs/>
        </w:rPr>
        <w:t xml:space="preserve">“</w:t>
      </w:r>
      <w:hyperlink w:anchor="sec:rcm-flapha">
        <w:r>
          <w:rPr>
            <w:rStyle w:val="Hyperlink"/>
            <w:b/>
            <w:bCs/>
          </w:rPr>
          <w:t xml:space="preserve">Radiometrically Corrected Measurements: Flattened Phase</w:t>
        </w:r>
      </w:hyperlink>
      <w:r>
        <w:rPr>
          <w:b/>
          <w:bCs/>
        </w:rPr>
        <w:t xml:space="preserve">”</w:t>
      </w:r>
      <w:r>
        <w:rPr>
          <w:b/>
          <w:bCs/>
        </w:rPr>
        <w:t xml:space="preserve">) is provided.</w:t>
      </w:r>
    </w:p>
    <w:bookmarkStart w:id="154" w:name="threshold-requirements-29"/>
    <w:p>
      <w:pPr>
        <w:pStyle w:val="berschrift5"/>
      </w:pPr>
      <w:r>
        <w:t xml:space="preserve">Threshold requirements:</w:t>
      </w:r>
    </w:p>
    <w:p>
      <w:pPr>
        <w:pStyle w:val="FirstParagraph"/>
      </w:pPr>
      <w:r>
        <w:t xml:space="preserve">Not required.</w:t>
      </w:r>
      <w:r>
        <w:t xml:space="preserve"> </w:t>
      </w:r>
    </w:p>
    <w:bookmarkEnd w:id="154"/>
    <w:bookmarkStart w:id="155"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5"/>
    <w:bookmarkStart w:id="156"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6"/>
    <w:bookmarkEnd w:id="157"/>
    <w:bookmarkEnd w:id="158"/>
    <w:bookmarkStart w:id="199"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2"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59" w:name="threshold-requirements-30"/>
    <w:p>
      <w:pPr>
        <w:pStyle w:val="berschrift5"/>
      </w:pPr>
      <w:r>
        <w:t xml:space="preserve">Threshold requirements:</w:t>
      </w:r>
    </w:p>
    <w:p>
      <w:pPr>
        <w:pStyle w:val="FirstParagraph"/>
      </w:pPr>
      <w:r>
        <w:t xml:space="preserve">Not required.</w:t>
      </w:r>
      <w:r>
        <w:t xml:space="preserve"> </w:t>
      </w:r>
    </w:p>
    <w:bookmarkEnd w:id="159"/>
    <w:bookmarkStart w:id="160" w:name="goal-requirements-30"/>
    <w:p>
      <w:pPr>
        <w:pStyle w:val="berschrift5"/>
      </w:pPr>
      <w:r>
        <w:t xml:space="preserve">Goal requirements:</w:t>
      </w:r>
    </w:p>
    <w:p>
      <w:pPr>
        <w:pStyle w:val="FirstParagraph"/>
      </w:pPr>
      <w:r>
        <w:t xml:space="preserve">All files are provided using cloud-optimized file formats.</w:t>
      </w:r>
    </w:p>
    <w:bookmarkEnd w:id="160"/>
    <w:bookmarkStart w:id="161"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1"/>
    <w:bookmarkEnd w:id="162"/>
    <w:bookmarkStart w:id="166"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3"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3"/>
    <w:bookmarkStart w:id="164"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4"/>
    <w:bookmarkStart w:id="165"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5"/>
    <w:bookmarkEnd w:id="166"/>
    <w:bookmarkStart w:id="170"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7"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7"/>
    <w:bookmarkStart w:id="168"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8"/>
    <w:bookmarkStart w:id="169"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9"/>
    <w:bookmarkEnd w:id="170"/>
    <w:bookmarkStart w:id="174"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2"/>
    <w:bookmarkStart w:id="173"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3"/>
    <w:bookmarkEnd w:id="174"/>
    <w:bookmarkStart w:id="178"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5"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For maritime ORB scenes when no land areas are covered, a geoid model could be used for the calculation of the local incident angle.</w:t>
      </w:r>
    </w:p>
    <w:bookmarkEnd w:id="175"/>
    <w:bookmarkStart w:id="176" w:name="goal-requirements-34"/>
    <w:p>
      <w:pPr>
        <w:pStyle w:val="berschrift5"/>
      </w:pPr>
      <w:r>
        <w:t xml:space="preserve">Goal requirements:</w:t>
      </w:r>
    </w:p>
    <w:p>
      <w:pPr>
        <w:pStyle w:val="FirstParagraph"/>
      </w:pPr>
      <w:r>
        <w:t xml:space="preserve">As threshold.</w:t>
      </w:r>
      <w:r>
        <w:t xml:space="preserve"> </w:t>
      </w:r>
    </w:p>
    <w:bookmarkEnd w:id="176"/>
    <w:bookmarkStart w:id="177"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7"/>
    <w:bookmarkEnd w:id="178"/>
    <w:bookmarkStart w:id="182"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9" w:name="threshold-requirements-35"/>
    <w:p>
      <w:pPr>
        <w:pStyle w:val="berschrift5"/>
      </w:pPr>
      <w:r>
        <w:t xml:space="preserve">Threshold requirements:</w:t>
      </w:r>
    </w:p>
    <w:p>
      <w:pPr>
        <w:pStyle w:val="FirstParagraph"/>
      </w:pPr>
      <w:r>
        <w:t xml:space="preserve">Not required.</w:t>
      </w:r>
      <w:r>
        <w:t xml:space="preserve"> </w:t>
      </w:r>
    </w:p>
    <w:bookmarkEnd w:id="179"/>
    <w:bookmarkStart w:id="180"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w:t>
      </w:r>
    </w:p>
    <w:p>
      <w:pPr>
        <w:pStyle w:val="Compact"/>
        <w:numPr>
          <w:ilvl w:val="0"/>
          <w:numId w:val="1060"/>
        </w:numPr>
      </w:pPr>
      <w:r>
        <w:t xml:space="preserve">For maritime ORB scenes when no land areas are covered, the ellipsoidal incident angle is nearly identical to the geoid based local incident angle.</w:t>
      </w:r>
    </w:p>
    <w:bookmarkEnd w:id="180"/>
    <w:bookmarkStart w:id="181"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1"/>
    <w:bookmarkEnd w:id="182"/>
    <w:bookmarkStart w:id="186"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3" w:name="threshold-requirements-36"/>
    <w:p>
      <w:pPr>
        <w:pStyle w:val="berschrift5"/>
      </w:pPr>
      <w:r>
        <w:t xml:space="preserve">Threshold requirements:</w:t>
      </w:r>
    </w:p>
    <w:p>
      <w:pPr>
        <w:pStyle w:val="FirstParagraph"/>
      </w:pPr>
      <w:r>
        <w:t xml:space="preserve">Not required.</w:t>
      </w:r>
      <w:r>
        <w:t xml:space="preserve"> </w:t>
      </w:r>
    </w:p>
    <w:bookmarkEnd w:id="183"/>
    <w:bookmarkStart w:id="184"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4"/>
    <w:bookmarkStart w:id="185"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5"/>
    <w:bookmarkEnd w:id="186"/>
    <w:bookmarkStart w:id="190"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7" w:name="threshold-requirements-37"/>
    <w:p>
      <w:pPr>
        <w:pStyle w:val="berschrift5"/>
      </w:pPr>
      <w:r>
        <w:t xml:space="preserve">Threshold requirements:</w:t>
      </w:r>
    </w:p>
    <w:p>
      <w:pPr>
        <w:pStyle w:val="FirstParagraph"/>
      </w:pPr>
      <w:r>
        <w:t xml:space="preserve">Not required.</w:t>
      </w:r>
      <w:r>
        <w:t xml:space="preserve"> </w:t>
      </w:r>
    </w:p>
    <w:bookmarkEnd w:id="187"/>
    <w:bookmarkStart w:id="188"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8"/>
    <w:bookmarkStart w:id="189"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9"/>
    <w:bookmarkEnd w:id="190"/>
    <w:bookmarkStart w:id="194"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1"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1"/>
    <w:bookmarkStart w:id="192" w:name="goal-requirements-38"/>
    <w:p>
      <w:pPr>
        <w:pStyle w:val="berschrift5"/>
      </w:pPr>
      <w:r>
        <w:t xml:space="preserve">Goal requirements:</w:t>
      </w:r>
    </w:p>
    <w:p>
      <w:pPr>
        <w:pStyle w:val="FirstParagraph"/>
      </w:pPr>
      <w:r>
        <w:t xml:space="preserve">In case of image composites, the sources for each pixel are uniquely identified.</w:t>
      </w:r>
    </w:p>
    <w:bookmarkEnd w:id="192"/>
    <w:bookmarkStart w:id="193"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3"/>
    <w:bookmarkEnd w:id="194"/>
    <w:bookmarkStart w:id="198"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5" w:name="threshold-requirements-39"/>
    <w:p>
      <w:pPr>
        <w:pStyle w:val="berschrift5"/>
      </w:pPr>
      <w:r>
        <w:t xml:space="preserve">Threshold requirements:</w:t>
      </w:r>
    </w:p>
    <w:p>
      <w:pPr>
        <w:pStyle w:val="FirstParagraph"/>
      </w:pPr>
      <w:r>
        <w:t xml:space="preserve">Not required.</w:t>
      </w:r>
      <w:r>
        <w:t xml:space="preserve"> </w:t>
      </w:r>
    </w:p>
    <w:bookmarkEnd w:id="195"/>
    <w:bookmarkStart w:id="196"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6"/>
    <w:bookmarkStart w:id="197"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7"/>
    <w:bookmarkEnd w:id="198"/>
    <w:bookmarkEnd w:id="199"/>
    <w:bookmarkStart w:id="228"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3"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0" w:name="threshold-requirements-40"/>
    <w:p>
      <w:pPr>
        <w:pStyle w:val="berschrift5"/>
      </w:pPr>
      <w:r>
        <w:t xml:space="preserve">Threshold requirements:</w:t>
      </w:r>
    </w:p>
    <w:p>
      <w:pPr>
        <w:pStyle w:val="FirstParagraph"/>
      </w:pPr>
      <w:r>
        <w:t xml:space="preserve">Not required.</w:t>
      </w:r>
      <w:r>
        <w:t xml:space="preserve"> </w:t>
      </w:r>
    </w:p>
    <w:bookmarkEnd w:id="200"/>
    <w:bookmarkStart w:id="201" w:name="goal-requirements-40"/>
    <w:p>
      <w:pPr>
        <w:pStyle w:val="berschrift5"/>
      </w:pPr>
      <w:r>
        <w:t xml:space="preserve">Goal requirements:</w:t>
      </w:r>
    </w:p>
    <w:p>
      <w:pPr>
        <w:pStyle w:val="FirstParagraph"/>
      </w:pPr>
      <w:r>
        <w:t xml:space="preserve">All files are provided using cloud-optimized file formats.</w:t>
      </w:r>
    </w:p>
    <w:bookmarkEnd w:id="201"/>
    <w:bookmarkStart w:id="202"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2"/>
    <w:bookmarkEnd w:id="203"/>
    <w:bookmarkStart w:id="207" w:name="sec:rcm-backsca-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rcm-backsca-pol</w:t>
      </w:r>
    </w:p>
    <w:bookmarkStart w:id="204"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1"/>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1"/>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2"/>
        </w:numPr>
      </w:pPr>
      <w:r>
        <w:t xml:space="preserve">Measurement Type (CovMat, PRD)</w:t>
      </w:r>
    </w:p>
    <w:p>
      <w:pPr>
        <w:pStyle w:val="Compact"/>
        <w:numPr>
          <w:ilvl w:val="0"/>
          <w:numId w:val="1072"/>
        </w:numPr>
      </w:pPr>
      <w:r>
        <w:t xml:space="preserve">Measurement convention unit (linear amplitude, linear power, angle)</w:t>
      </w:r>
    </w:p>
    <w:p>
      <w:pPr>
        <w:pStyle w:val="Compact"/>
        <w:numPr>
          <w:ilvl w:val="0"/>
          <w:numId w:val="1072"/>
        </w:numPr>
      </w:pPr>
      <w:r>
        <w:t xml:space="preserve">Individual covariance matrix element or/and Individual component of the decomposition (C3m11, C3m12, … or H, A, alpha, or …)</w:t>
      </w:r>
    </w:p>
    <w:p>
      <w:pPr>
        <w:pStyle w:val="Compact"/>
        <w:numPr>
          <w:ilvl w:val="0"/>
          <w:numId w:val="1072"/>
        </w:numPr>
      </w:pPr>
      <w:r>
        <w:t xml:space="preserve">Data Format (GeoTIFF, HDF5, NetCDF, …)</w:t>
      </w:r>
    </w:p>
    <w:p>
      <w:pPr>
        <w:pStyle w:val="Compact"/>
        <w:numPr>
          <w:ilvl w:val="0"/>
          <w:numId w:val="1072"/>
        </w:numPr>
      </w:pPr>
      <w:r>
        <w:t xml:space="preserve">Data Type (Int, Float, Complex, …)</w:t>
      </w:r>
    </w:p>
    <w:p>
      <w:pPr>
        <w:pStyle w:val="Compact"/>
        <w:numPr>
          <w:ilvl w:val="0"/>
          <w:numId w:val="1072"/>
        </w:numPr>
      </w:pPr>
      <w:r>
        <w:t xml:space="preserve">Bits per Sample</w:t>
      </w:r>
    </w:p>
    <w:p>
      <w:pPr>
        <w:pStyle w:val="Compact"/>
        <w:numPr>
          <w:ilvl w:val="0"/>
          <w:numId w:val="1072"/>
        </w:numPr>
      </w:pPr>
      <w:r>
        <w:t xml:space="preserve">Byte Order</w:t>
      </w:r>
      <w:r>
        <w:t xml:space="preserve"> </w:t>
      </w:r>
      <w:r>
        <w:t xml:space="preserve"># todo: add glossary entries for BIP, BIL, BSQ?</w:t>
      </w:r>
    </w:p>
    <w:p>
      <w:pPr>
        <w:pStyle w:val="Compact"/>
        <w:numPr>
          <w:ilvl w:val="0"/>
          <w:numId w:val="1072"/>
        </w:numPr>
      </w:pPr>
      <w:r>
        <w:t xml:space="preserve">|-</w:t>
      </w:r>
      <w:r>
        <w:t xml:space="preserve"> </w:t>
      </w:r>
      <w:r>
        <w:t xml:space="preserve">It is recommended to keep CovMat or PRD measurement files separated.</w:t>
      </w:r>
      <w:r>
        <w:t xml:space="preserve"> </w:t>
      </w:r>
      <w:r>
        <w:t xml:space="preserve">Otherwise, specify the multi-channel format order (BIP, BIL, BSQ).</w:t>
      </w:r>
    </w:p>
    <w:bookmarkEnd w:id="204"/>
    <w:bookmarkStart w:id="205" w:name="goal-requirements-41"/>
    <w:p>
      <w:pPr>
        <w:pStyle w:val="berschrift5"/>
      </w:pPr>
      <w:r>
        <w:t xml:space="preserve">Goal requirements:</w:t>
      </w:r>
    </w:p>
    <w:p>
      <w:pPr>
        <w:pStyle w:val="FirstParagraph"/>
      </w:pPr>
      <w:r>
        <w:t xml:space="preserve">As threshold.</w:t>
      </w:r>
      <w:r>
        <w:t xml:space="preserve"> </w:t>
      </w:r>
    </w:p>
    <w:bookmarkEnd w:id="205"/>
    <w:bookmarkStart w:id="206"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6"/>
    <w:bookmarkEnd w:id="207"/>
    <w:bookmarkStart w:id="211"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8"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8"/>
    <w:bookmarkStart w:id="209" w:name="goal-requirements-42"/>
    <w:p>
      <w:pPr>
        <w:pStyle w:val="berschrift5"/>
      </w:pPr>
      <w:r>
        <w:t xml:space="preserve">Goal requirements:</w:t>
      </w:r>
    </w:p>
    <w:p>
      <w:pPr>
        <w:pStyle w:val="FirstParagraph"/>
      </w:pPr>
      <w:r>
        <w:t xml:space="preserve">As threshold, but use of float32.</w:t>
      </w:r>
    </w:p>
    <w:bookmarkEnd w:id="209"/>
    <w:bookmarkStart w:id="210"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2"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5"/>
        </w:numPr>
      </w:pPr>
      <w:r>
        <w:t xml:space="preserve">Thermal noise removal and image border noise removal to remove overall scene noise and scene edge artefacts, respectively.</w:t>
      </w:r>
    </w:p>
    <w:bookmarkEnd w:id="212"/>
    <w:bookmarkStart w:id="213" w:name="goal-requirements-43"/>
    <w:p>
      <w:pPr>
        <w:pStyle w:val="berschrift5"/>
      </w:pPr>
      <w:r>
        <w:t xml:space="preserve">Goal requirements:</w:t>
      </w:r>
    </w:p>
    <w:p>
      <w:pPr>
        <w:pStyle w:val="FirstParagraph"/>
      </w:pPr>
      <w:r>
        <w:t xml:space="preserve">As threshold.</w:t>
      </w:r>
      <w:r>
        <w:t xml:space="preserve"> </w:t>
      </w:r>
    </w:p>
    <w:bookmarkEnd w:id="213"/>
    <w:bookmarkStart w:id="214"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4"/>
    <w:bookmarkEnd w:id="215"/>
    <w:bookmarkStart w:id="219" w:name="sec:rcm-radtalg"/>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w:t>
      </w:r>
    </w:p>
    <w:bookmarkStart w:id="216"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w:t>
      </w:r>
    </w:p>
    <w:p>
      <w:pPr>
        <w:pStyle w:val="Compact"/>
        <w:numPr>
          <w:ilvl w:val="0"/>
          <w:numId w:val="1078"/>
        </w:numPr>
      </w:pPr>
      <w:r>
        <w:t xml:space="preserve">Examples of technical documentation include an Algorithm, Theoretical Basis Document, product user guide, etc.</w:t>
      </w:r>
    </w:p>
    <w:bookmarkEnd w:id="216"/>
    <w:bookmarkStart w:id="217" w:name="goal-requirements-44"/>
    <w:p>
      <w:pPr>
        <w:pStyle w:val="berschrift5"/>
      </w:pPr>
      <w:r>
        <w:t xml:space="preserve">Goal requirements:</w:t>
      </w:r>
    </w:p>
    <w:p>
      <w:pPr>
        <w:pStyle w:val="FirstParagraph"/>
      </w:pPr>
      <w:r>
        <w:t xml:space="preserve">As threshold.</w:t>
      </w:r>
      <w:r>
        <w:t xml:space="preserve"> </w:t>
      </w:r>
    </w:p>
    <w:bookmarkEnd w:id="217"/>
    <w:bookmarkStart w:id="218"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8"/>
    <w:bookmarkEnd w:id="219"/>
    <w:bookmarkStart w:id="223"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0" w:name="threshold-requirements-45"/>
    <w:p>
      <w:pPr>
        <w:pStyle w:val="berschrift5"/>
      </w:pPr>
      <w:r>
        <w:t xml:space="preserve">Threshold requirements:</w:t>
      </w:r>
    </w:p>
    <w:p>
      <w:pPr>
        <w:pStyle w:val="FirstParagraph"/>
      </w:pPr>
      <w:r>
        <w:t xml:space="preserve">Not required.</w:t>
      </w:r>
      <w:r>
        <w:t xml:space="preserve"> </w:t>
      </w:r>
    </w:p>
    <w:bookmarkEnd w:id="220"/>
    <w:bookmarkStart w:id="221"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1"/>
    <w:bookmarkStart w:id="222"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2"/>
    <w:bookmarkEnd w:id="223"/>
    <w:bookmarkStart w:id="227" w:name="sec:rcm-flapha"/>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 Alternative to GSLC product for NRB and POL products</w:t>
      </w:r>
    </w:p>
    <w:bookmarkStart w:id="224" w:name="threshold-requirements-46"/>
    <w:p>
      <w:pPr>
        <w:pStyle w:val="berschrift5"/>
      </w:pPr>
      <w:r>
        <w:t xml:space="preserve">Threshold requirements:</w:t>
      </w:r>
    </w:p>
    <w:p>
      <w:pPr>
        <w:pStyle w:val="FirstParagraph"/>
      </w:pPr>
      <w:r>
        <w:t xml:space="preserve">Not required.</w:t>
      </w:r>
      <w:r>
        <w:t xml:space="preserve"> </w:t>
      </w:r>
    </w:p>
    <w:bookmarkEnd w:id="224"/>
    <w:bookmarkStart w:id="225"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5"/>
    <w:bookmarkStart w:id="226"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6"/>
    <w:bookmarkEnd w:id="227"/>
    <w:bookmarkEnd w:id="228"/>
    <w:bookmarkStart w:id="249"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2"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9" w:name="threshold-requirements-47"/>
    <w:p>
      <w:pPr>
        <w:pStyle w:val="berschrift5"/>
      </w:pPr>
      <w:r>
        <w:t xml:space="preserve">Threshold requirements:</w:t>
      </w:r>
    </w:p>
    <w:p>
      <w:pPr>
        <w:pStyle w:val="FirstParagraph"/>
      </w:pPr>
      <w:r>
        <w:t xml:space="preserve">Not required.</w:t>
      </w:r>
      <w:r>
        <w:t xml:space="preserve"> </w:t>
      </w:r>
    </w:p>
    <w:bookmarkEnd w:id="229"/>
    <w:bookmarkStart w:id="230"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w:t>
      </w:r>
    </w:p>
    <w:p>
      <w:pPr>
        <w:pStyle w:val="Compact"/>
        <w:numPr>
          <w:ilvl w:val="0"/>
          <w:numId w:val="1084"/>
        </w:numPr>
      </w:pPr>
      <w:r>
        <w:t xml:space="preserve">Examples of technical documentation can include e.g., an Algorithm Theoretical Basis Document (ATBD) or a product user guide.</w:t>
      </w:r>
    </w:p>
    <w:bookmarkEnd w:id="230"/>
    <w:bookmarkStart w:id="231"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1"/>
    <w:bookmarkEnd w:id="232"/>
    <w:bookmarkStart w:id="236"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3"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3"/>
    <w:bookmarkStart w:id="234"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4"/>
    <w:bookmarkStart w:id="235"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5"/>
    <w:bookmarkEnd w:id="236"/>
    <w:bookmarkStart w:id="240"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7"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7"/>
    <w:bookmarkStart w:id="238"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8"/>
    <w:bookmarkStart w:id="239"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9"/>
    <w:bookmarkEnd w:id="240"/>
    <w:bookmarkStart w:id="244"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1" w:name="threshold-requirements-50"/>
    <w:p>
      <w:pPr>
        <w:pStyle w:val="berschrift5"/>
      </w:pPr>
      <w:r>
        <w:t xml:space="preserve">Threshold requirements:</w:t>
      </w:r>
    </w:p>
    <w:p>
      <w:pPr>
        <w:pStyle w:val="FirstParagraph"/>
      </w:pPr>
      <w:r>
        <w:t xml:space="preserve">Not required.</w:t>
      </w:r>
      <w:r>
        <w:t xml:space="preserve"> </w:t>
      </w:r>
    </w:p>
    <w:bookmarkEnd w:id="241"/>
    <w:bookmarkStart w:id="242" w:name="goal-requirements-50"/>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2"/>
    <w:bookmarkStart w:id="243"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3"/>
    <w:bookmarkEnd w:id="244"/>
    <w:bookmarkStart w:id="248"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5"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5"/>
    <w:bookmarkStart w:id="246"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6"/>
    <w:bookmarkStart w:id="247"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7"/>
    <w:bookmarkEnd w:id="248"/>
    <w:bookmarkEnd w:id="249"/>
    <w:bookmarkEnd w:id="250"/>
    <w:bookmarkStart w:id="257" w:name="summary-self-assessment-table"/>
    <w:p>
      <w:pPr>
        <w:pStyle w:val="berschrift2"/>
      </w:pPr>
      <w:r>
        <w:t xml:space="preserve">Summary Self-Assessment Table</w:t>
      </w:r>
    </w:p>
    <w:bookmarkStart w:id="25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1"/>
    <w:bookmarkStart w:id="252"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2"/>
    <w:bookmarkStart w:id="253"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3"/>
    <w:bookmarkStart w:id="25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4"/>
    <w:bookmarkStart w:id="255"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5"/>
    <w:bookmarkStart w:id="25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6"/>
    <w:bookmarkEnd w:id="257"/>
    <w:bookmarkStart w:id="26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8"/>
    <w:bookmarkStart w:id="26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0"/>
    <w:bookmarkStart w:id="26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1"/>
    <w:bookmarkEnd w:id="262"/>
    <w:bookmarkStart w:id="290" w:name="references"/>
    <w:p>
      <w:pPr>
        <w:pStyle w:val="berschrift2"/>
      </w:pPr>
      <w:r>
        <w:t xml:space="preserve">References</w:t>
      </w:r>
    </w:p>
    <w:bookmarkStart w:id="289" w:name="refs"/>
    <w:bookmarkStart w:id="264"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3">
        <w:r>
          <w:rPr>
            <w:rStyle w:val="Hyperlink"/>
          </w:rPr>
          <w:t xml:space="preserve">https://doi.org/10.1109/36.499784</w:t>
        </w:r>
      </w:hyperlink>
      <w:r>
        <w:t xml:space="preserve">.</w:t>
      </w:r>
    </w:p>
    <w:bookmarkEnd w:id="264"/>
    <w:bookmarkStart w:id="266"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5">
        <w:r>
          <w:rPr>
            <w:rStyle w:val="Hyperlink"/>
          </w:rPr>
          <w:t xml:space="preserve">https://doi.org/10.1109/36.485127</w:t>
        </w:r>
      </w:hyperlink>
      <w:r>
        <w:t xml:space="preserve">.</w:t>
      </w:r>
    </w:p>
    <w:bookmarkEnd w:id="266"/>
    <w:bookmarkStart w:id="268"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7">
        <w:r>
          <w:rPr>
            <w:rStyle w:val="Hyperlink"/>
          </w:rPr>
          <w:t xml:space="preserve">https://doi.org/10.1109/36.673687</w:t>
        </w:r>
      </w:hyperlink>
      <w:r>
        <w:t xml:space="preserve">.</w:t>
      </w:r>
    </w:p>
    <w:bookmarkEnd w:id="268"/>
    <w:bookmarkStart w:id="270"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9">
        <w:r>
          <w:rPr>
            <w:rStyle w:val="Hyperlink"/>
          </w:rPr>
          <w:t xml:space="preserve">https://doi.org/10.1080/2150704X.2012.687470</w:t>
        </w:r>
      </w:hyperlink>
      <w:r>
        <w:t xml:space="preserve">.</w:t>
      </w:r>
    </w:p>
    <w:bookmarkEnd w:id="270"/>
    <w:bookmarkStart w:id="27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1"/>
    <w:bookmarkStart w:id="272"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2"/>
    <w:bookmarkStart w:id="27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3">
        <w:r>
          <w:rPr>
            <w:rStyle w:val="Hyperlink"/>
          </w:rPr>
          <w:t xml:space="preserve">https://doi.org/10.1109/TGRS.2008.2002881</w:t>
        </w:r>
      </w:hyperlink>
      <w:r>
        <w:t xml:space="preserve">.</w:t>
      </w:r>
    </w:p>
    <w:bookmarkEnd w:id="274"/>
    <w:bookmarkStart w:id="276"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5">
        <w:r>
          <w:rPr>
            <w:rStyle w:val="Hyperlink"/>
          </w:rPr>
          <w:t xml:space="preserve">https://doi.org/10.1029/2011JE003986</w:t>
        </w:r>
      </w:hyperlink>
      <w:r>
        <w:t xml:space="preserve">.</w:t>
      </w:r>
    </w:p>
    <w:bookmarkEnd w:id="276"/>
    <w:bookmarkStart w:id="278"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7">
        <w:r>
          <w:rPr>
            <w:rStyle w:val="Hyperlink"/>
          </w:rPr>
          <w:t xml:space="preserve">https://doi.org/10.1109/TGRS.2022.3147472</w:t>
        </w:r>
      </w:hyperlink>
      <w:r>
        <w:t xml:space="preserve">.</w:t>
      </w:r>
    </w:p>
    <w:bookmarkEnd w:id="278"/>
    <w:bookmarkStart w:id="280"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9">
        <w:r>
          <w:rPr>
            <w:rStyle w:val="Hyperlink"/>
          </w:rPr>
          <w:t xml:space="preserve">https://doi.org/10.1109/TGRS.2011.2120616</w:t>
        </w:r>
      </w:hyperlink>
      <w:r>
        <w:t xml:space="preserve">.</w:t>
      </w:r>
    </w:p>
    <w:bookmarkEnd w:id="280"/>
    <w:bookmarkStart w:id="282"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1">
        <w:r>
          <w:rPr>
            <w:rStyle w:val="Hyperlink"/>
          </w:rPr>
          <w:t xml:space="preserve">https://doi.org/10.1109/TGRS.2012.2233206</w:t>
        </w:r>
      </w:hyperlink>
      <w:r>
        <w:t xml:space="preserve">.</w:t>
      </w:r>
    </w:p>
    <w:bookmarkEnd w:id="282"/>
    <w:bookmarkStart w:id="284"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3">
        <w:r>
          <w:rPr>
            <w:rStyle w:val="Hyperlink"/>
          </w:rPr>
          <w:t xml:space="preserve">https://doi.org/10.1109/TGRS.2010.2099124</w:t>
        </w:r>
      </w:hyperlink>
      <w:r>
        <w:t xml:space="preserve">.</w:t>
      </w:r>
    </w:p>
    <w:bookmarkEnd w:id="284"/>
    <w:bookmarkStart w:id="286"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5">
        <w:r>
          <w:rPr>
            <w:rStyle w:val="Hyperlink"/>
          </w:rPr>
          <w:t xml:space="preserve">https://doi.org/10.1109/LGRS.2017.2753580</w:t>
        </w:r>
      </w:hyperlink>
      <w:r>
        <w:t xml:space="preserve">.</w:t>
      </w:r>
    </w:p>
    <w:bookmarkEnd w:id="286"/>
    <w:bookmarkStart w:id="288"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7">
        <w:r>
          <w:rPr>
            <w:rStyle w:val="Hyperlink"/>
          </w:rPr>
          <w:t xml:space="preserve">https://doi.org/10.1109/TGRS.2010.2051333</w:t>
        </w:r>
      </w:hyperlink>
      <w:r>
        <w:t xml:space="preserve">.</w:t>
      </w:r>
    </w:p>
    <w:bookmarkEnd w:id="288"/>
    <w:bookmarkEnd w:id="289"/>
    <w:p>
      <w:r>
        <w:br w:type="page"/>
      </w:r>
    </w:p>
    <w:bookmarkEnd w:id="290"/>
    <w:bookmarkStart w:id="326" w:name="annexes"/>
    <w:p>
      <w:pPr>
        <w:pStyle w:val="berschrift2"/>
      </w:pPr>
      <w:r>
        <w:t xml:space="preserve">Annexes</w:t>
      </w:r>
    </w:p>
    <w:bookmarkStart w:id="292"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1"/>
    <w:bookmarkEnd w:id="292"/>
    <w:bookmarkStart w:id="30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3"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3"/>
    </w:p>
    <w:p>
      <w:pPr>
        <w:pStyle w:val="FirstParagraph"/>
      </w:pPr>
      <w:r>
        <w:t xml:space="preserve">Where</w:t>
      </w:r>
    </w:p>
    <w:p>
      <w:pPr>
        <w:pStyle w:val="Textkrper"/>
      </w:pPr>
      <w:bookmarkStart w:id="294"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6"/>
    </w:p>
    <w:p>
      <w:pPr>
        <w:pStyle w:val="FirstParagraph"/>
      </w:pPr>
      <w:bookmarkStart w:id="29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7"/>
    </w:p>
    <w:p>
      <w:pPr>
        <w:pStyle w:val="FirstParagraph"/>
      </w:pPr>
      <w:r>
        <w:t xml:space="preserve">The differential phase is</w:t>
      </w:r>
    </w:p>
    <w:p>
      <w:pPr>
        <w:pStyle w:val="Textkrper"/>
      </w:pPr>
      <w:bookmarkStart w:id="298"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9"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9"/>
    </w:p>
    <w:p>
      <w:pPr>
        <w:pStyle w:val="FirstParagraph"/>
      </w:pPr>
      <w:bookmarkStart w:id="300"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0"/>
    </w:p>
    <w:p>
      <w:pPr>
        <w:pStyle w:val="FirstParagraph"/>
      </w:pPr>
      <w:bookmarkStart w:id="301"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1"/>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2"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3"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3"/>
    </w:p>
    <w:bookmarkEnd w:id="304"/>
    <w:bookmarkStart w:id="311"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5"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5"/>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6"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6"/>
    </w:p>
    <w:p>
      <w:pPr>
        <w:pStyle w:val="FirstParagraph"/>
      </w:pPr>
      <w:bookmarkStart w:id="307"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7"/>
    </w:p>
    <w:p>
      <w:pPr>
        <w:pStyle w:val="FirstParagraph"/>
      </w:pPr>
      <w:bookmarkStart w:id="308"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8"/>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9"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9"/>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0"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0"/>
    </w:p>
    <w:bookmarkEnd w:id="311"/>
    <w:bookmarkStart w:id="316"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3"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097"/>
        </w:numPr>
      </w:pPr>
      <w:r>
        <w:t xml:space="preserve">Pauli decomposition (3 layers)</w:t>
      </w:r>
    </w:p>
    <w:p>
      <w:pPr>
        <w:pStyle w:val="Compact"/>
        <w:numPr>
          <w:ilvl w:val="0"/>
          <w:numId w:val="1098"/>
        </w:numPr>
      </w:pPr>
      <m:oMath>
        <m:sSup>
          <m:e>
            <m:d>
              <m:dPr>
                <m:begChr m:val="|"/>
                <m:sepChr m:val=""/>
                <m:endChr m:val="|"/>
                <m:grow/>
              </m:dPr>
              <m:e>
                <m:r>
                  <m:t>α</m:t>
                </m:r>
              </m:e>
            </m:d>
          </m:e>
          <m:sup>
            <m:r>
              <m:t>2</m:t>
            </m:r>
          </m:sup>
        </m:sSup>
      </m:oMath>
      <w:r>
        <w:t xml:space="preserve">: sphere (odd-bounce interaction) [Intensity]</w:t>
      </w:r>
    </w:p>
    <w:p>
      <w:pPr>
        <w:pStyle w:val="Compact"/>
        <w:numPr>
          <w:ilvl w:val="0"/>
          <w:numId w:val="1098"/>
        </w:numPr>
      </w:pPr>
      <m:oMath>
        <m:sSup>
          <m:e>
            <m:d>
              <m:dPr>
                <m:begChr m:val="|"/>
                <m:sepChr m:val=""/>
                <m:endChr m:val="|"/>
                <m:grow/>
              </m:dPr>
              <m:e>
                <m:r>
                  <m:t>β</m:t>
                </m:r>
              </m:e>
            </m:d>
          </m:e>
          <m:sup>
            <m:r>
              <m:t>2</m:t>
            </m:r>
          </m:sup>
        </m:sSup>
      </m:oMath>
      <w:r>
        <w:t xml:space="preserve">: 0° diplane (even-bounce interaction) [Intensity]</w:t>
      </w:r>
    </w:p>
    <w:p>
      <w:pPr>
        <w:pStyle w:val="Compact"/>
        <w:numPr>
          <w:ilvl w:val="0"/>
          <w:numId w:val="1098"/>
        </w:numPr>
      </w:pPr>
      <m:oMath>
        <m:sSup>
          <m:e>
            <m:d>
              <m:dPr>
                <m:begChr m:val="|"/>
                <m:sepChr m:val=""/>
                <m:endChr m:val="|"/>
                <m:grow/>
              </m:dPr>
              <m:e>
                <m:r>
                  <m:t>γ</m:t>
                </m:r>
              </m:e>
            </m:d>
          </m:e>
          <m:sup>
            <m:r>
              <m:t>2</m:t>
            </m:r>
          </m:sup>
        </m:sSup>
      </m:oMath>
      <w:r>
        <w:t xml:space="preserve">: 45° diplane (volumetric interaction) [Intensity]</w:t>
      </w:r>
    </w:p>
    <w:p>
      <w:pPr>
        <w:pStyle w:val="Compact"/>
        <w:numPr>
          <w:ilvl w:val="0"/>
          <w:numId w:val="1099"/>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0"/>
          <w:numId w:val="1100"/>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0"/>
          <w:numId w:val="1100"/>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0"/>
          <w:numId w:val="1100"/>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0"/>
          <w:numId w:val="1100"/>
        </w:numPr>
      </w:pPr>
      <m:oMath>
        <m:r>
          <m:t>θ</m:t>
        </m:r>
      </m:oMath>
      <w:r>
        <w:t xml:space="preserve">: orientation angle [degrees]</w:t>
      </w:r>
    </w:p>
    <w:p>
      <w:pPr>
        <w:pStyle w:val="Compact"/>
        <w:numPr>
          <w:ilvl w:val="0"/>
          <w:numId w:val="1100"/>
        </w:numPr>
      </w:pPr>
      <m:oMath>
        <m:sSub>
          <m:e>
            <m:r>
              <m:t>Φ</m:t>
            </m:r>
          </m:e>
          <m:sub>
            <m:r>
              <m:t>s</m:t>
            </m:r>
          </m:sub>
        </m:sSub>
      </m:oMath>
      <w:r>
        <w:t xml:space="preserve">: sphere to diplane angle [degrees]</w:t>
      </w:r>
    </w:p>
    <w:p>
      <w:pPr>
        <w:pStyle w:val="Compact"/>
        <w:numPr>
          <w:ilvl w:val="0"/>
          <w:numId w:val="1101"/>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2"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2"/>
    <w:bookmarkEnd w:id="313"/>
    <w:bookmarkStart w:id="315"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2"/>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4"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4"/>
    <w:p>
      <w:pPr>
        <w:pStyle w:val="Compact"/>
        <w:numPr>
          <w:ilvl w:val="0"/>
          <w:numId w:val="1103"/>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4"/>
        </w:numPr>
      </w:pPr>
      <m:oMath>
        <m:r>
          <m:t>H</m:t>
        </m:r>
      </m:oMath>
      <w:r>
        <w:t xml:space="preserve"> </w:t>
      </w:r>
      <w:r>
        <w:t xml:space="preserve">: Entropy [ ] is the polarization diversity</w:t>
      </w:r>
    </w:p>
    <w:p>
      <w:pPr>
        <w:pStyle w:val="Compact"/>
        <w:numPr>
          <w:ilvl w:val="0"/>
          <w:numId w:val="1104"/>
        </w:numPr>
      </w:pPr>
      <m:oMath>
        <m:r>
          <m:t>A</m:t>
        </m:r>
      </m:oMath>
      <w:r>
        <w:t xml:space="preserve"> </w:t>
      </w:r>
      <w:r>
        <w:t xml:space="preserve">: Anisotropy [ ] is weighted difference between the 2ⁿᵈ and 3ʳᵈ eigenvalues</w:t>
      </w:r>
    </w:p>
    <w:p>
      <w:pPr>
        <w:pStyle w:val="Compact"/>
        <w:numPr>
          <w:ilvl w:val="0"/>
          <w:numId w:val="1104"/>
        </w:numPr>
      </w:pPr>
      <m:oMath>
        <m:r>
          <m:t>α</m:t>
        </m:r>
      </m:oMath>
      <w:r>
        <w:t xml:space="preserve"> </w:t>
      </w:r>
      <w:r>
        <w:t xml:space="preserve">: Odd-even bounce angle [Degrees]</w:t>
      </w:r>
    </w:p>
    <w:p>
      <w:pPr>
        <w:pStyle w:val="Compact"/>
        <w:numPr>
          <w:ilvl w:val="0"/>
          <w:numId w:val="1104"/>
        </w:numPr>
      </w:pPr>
      <m:oMath>
        <m:r>
          <m:t>β</m:t>
        </m:r>
      </m:oMath>
      <w:r>
        <w:t xml:space="preserve"> </w:t>
      </w:r>
      <w:r>
        <w:t xml:space="preserve">: orientation angle [Degrees]</w:t>
      </w:r>
    </w:p>
    <w:bookmarkEnd w:id="315"/>
    <w:bookmarkEnd w:id="316"/>
    <w:bookmarkStart w:id="325"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20"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8" name="Picture"/>
            <a:graphic>
              <a:graphicData uri="http://schemas.openxmlformats.org/drawingml/2006/picture">
                <pic:pic>
                  <pic:nvPicPr>
                    <pic:cNvPr descr="assets/sar-pol-examples/pol-decomposition.jpeg" id="319" name="Picture"/>
                    <pic:cNvPicPr>
                      <a:picLocks noChangeArrowheads="1" noChangeAspect="1"/>
                    </pic:cNvPicPr>
                  </pic:nvPicPr>
                  <pic:blipFill>
                    <a:blip r:embed="rId317"/>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20"/>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4"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2" name="Picture"/>
            <a:graphic>
              <a:graphicData uri="http://schemas.openxmlformats.org/drawingml/2006/picture">
                <pic:pic>
                  <pic:nvPicPr>
                    <pic:cNvPr descr="assets/sar-pol-examples/m-chi-decomposition.jpeg" id="323" name="Picture"/>
                    <pic:cNvPicPr>
                      <a:picLocks noChangeArrowheads="1" noChangeAspect="1"/>
                    </pic:cNvPicPr>
                  </pic:nvPicPr>
                  <pic:blipFill>
                    <a:blip r:embed="rId321"/>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4"/>
    <w:bookmarkEnd w:id="325"/>
    <w:bookmarkEnd w:id="326"/>
    <w:bookmarkEnd w:id="327"/>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21" Target="media/rId321.jpg" /><Relationship Type="http://schemas.openxmlformats.org/officeDocument/2006/relationships/image" Id="rId317" Target="media/rId317.jpg" /><Relationship Type="http://schemas.openxmlformats.org/officeDocument/2006/relationships/hyperlink" Id="rId23"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75" Target="https://doi.org/10.1029/2011JE003986" TargetMode="External" /><Relationship Type="http://schemas.openxmlformats.org/officeDocument/2006/relationships/hyperlink" Id="rId269" Target="https://doi.org/10.1080/2150704X.2012.687470" TargetMode="External" /><Relationship Type="http://schemas.openxmlformats.org/officeDocument/2006/relationships/hyperlink" Id="rId265" Target="https://doi.org/10.1109/36.485127" TargetMode="External" /><Relationship Type="http://schemas.openxmlformats.org/officeDocument/2006/relationships/hyperlink" Id="rId263" Target="https://doi.org/10.1109/36.499784" TargetMode="External" /><Relationship Type="http://schemas.openxmlformats.org/officeDocument/2006/relationships/hyperlink" Id="rId267" Target="https://doi.org/10.1109/36.673687" TargetMode="External" /><Relationship Type="http://schemas.openxmlformats.org/officeDocument/2006/relationships/hyperlink" Id="rId285" Target="https://doi.org/10.1109/LGRS.2017.2753580" TargetMode="External" /><Relationship Type="http://schemas.openxmlformats.org/officeDocument/2006/relationships/hyperlink" Id="rId273" Target="https://doi.org/10.1109/TGRS.2008.2002881" TargetMode="External" /><Relationship Type="http://schemas.openxmlformats.org/officeDocument/2006/relationships/hyperlink" Id="rId287" Target="https://doi.org/10.1109/TGRS.2010.2051333" TargetMode="External" /><Relationship Type="http://schemas.openxmlformats.org/officeDocument/2006/relationships/hyperlink" Id="rId283" Target="https://doi.org/10.1109/TGRS.2010.2099124" TargetMode="External" /><Relationship Type="http://schemas.openxmlformats.org/officeDocument/2006/relationships/hyperlink" Id="rId279" Target="https://doi.org/10.1109/TGRS.2011.2120616" TargetMode="External" /><Relationship Type="http://schemas.openxmlformats.org/officeDocument/2006/relationships/hyperlink" Id="rId281" Target="https://doi.org/10.1109/TGRS.2012.2233206" TargetMode="External" /><Relationship Type="http://schemas.openxmlformats.org/officeDocument/2006/relationships/hyperlink" Id="rId277" Target="https://doi.org/10.1109/TGRS.2022.3147472"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75" Target="https://doi.org/10.1029/2011JE003986" TargetMode="External" /><Relationship Type="http://schemas.openxmlformats.org/officeDocument/2006/relationships/hyperlink" Id="rId269" Target="https://doi.org/10.1080/2150704X.2012.687470" TargetMode="External" /><Relationship Type="http://schemas.openxmlformats.org/officeDocument/2006/relationships/hyperlink" Id="rId265" Target="https://doi.org/10.1109/36.485127" TargetMode="External" /><Relationship Type="http://schemas.openxmlformats.org/officeDocument/2006/relationships/hyperlink" Id="rId263" Target="https://doi.org/10.1109/36.499784" TargetMode="External" /><Relationship Type="http://schemas.openxmlformats.org/officeDocument/2006/relationships/hyperlink" Id="rId267" Target="https://doi.org/10.1109/36.673687" TargetMode="External" /><Relationship Type="http://schemas.openxmlformats.org/officeDocument/2006/relationships/hyperlink" Id="rId285" Target="https://doi.org/10.1109/LGRS.2017.2753580" TargetMode="External" /><Relationship Type="http://schemas.openxmlformats.org/officeDocument/2006/relationships/hyperlink" Id="rId273" Target="https://doi.org/10.1109/TGRS.2008.2002881" TargetMode="External" /><Relationship Type="http://schemas.openxmlformats.org/officeDocument/2006/relationships/hyperlink" Id="rId287" Target="https://doi.org/10.1109/TGRS.2010.2051333" TargetMode="External" /><Relationship Type="http://schemas.openxmlformats.org/officeDocument/2006/relationships/hyperlink" Id="rId283" Target="https://doi.org/10.1109/TGRS.2010.2099124" TargetMode="External" /><Relationship Type="http://schemas.openxmlformats.org/officeDocument/2006/relationships/hyperlink" Id="rId279" Target="https://doi.org/10.1109/TGRS.2011.2120616" TargetMode="External" /><Relationship Type="http://schemas.openxmlformats.org/officeDocument/2006/relationships/hyperlink" Id="rId281" Target="https://doi.org/10.1109/TGRS.2012.2233206" TargetMode="External" /><Relationship Type="http://schemas.openxmlformats.org/officeDocument/2006/relationships/hyperlink" Id="rId277" Target="https://doi.org/10.1109/TGRS.2022.3147472"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1.1.0-draft</dc:title>
  <dc:creator/>
  <dc:language>en</dc:language>
  <cp:keywords/>
  <dcterms:created xsi:type="dcterms:W3CDTF">2026-04-23T19:01:05Z</dcterms:created>
  <dcterms:modified xsi:type="dcterms:W3CDTF">2026-04-23T19:01:05Z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