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8" w:name="ceos-ard---optical---surface-temperature"/>
    <w:p>
      <w:pPr>
        <w:pStyle w:val="berschrift1"/>
      </w:pPr>
      <w:r>
        <w:t xml:space="preserve">CEOS-ARD - Optical - Surface Temperature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1"/>
    <w:bookmarkStart w:id="32"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2"/>
    <w:bookmarkStart w:id="33"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3"/>
    <w:bookmarkStart w:id="1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7"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5">
        <w:r>
          <w:rPr>
            <w:rStyle w:val="Hyperlink"/>
          </w:rPr>
          <w:t xml:space="preserve">Policy on measurement traceability</w:t>
        </w:r>
      </w:hyperlink>
    </w:p>
    <w:p>
      <w:pPr>
        <w:pStyle w:val="Compact"/>
        <w:numPr>
          <w:ilvl w:val="0"/>
          <w:numId w:val="1003"/>
        </w:numPr>
      </w:pPr>
      <w:hyperlink r:id="rId36">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37"/>
    <w:bookmarkStart w:id="38"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4"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9"/>
    <w:bookmarkStart w:id="50"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6" w:name="threshold-requirements-5"/>
    <w:p>
      <w:pPr>
        <w:pStyle w:val="berschrift5"/>
      </w:pPr>
      <w:r>
        <w:t xml:space="preserve">Threshold requirements:</w:t>
      </w:r>
    </w:p>
    <w:p>
      <w:pPr>
        <w:pStyle w:val="FirstParagraph"/>
      </w:pPr>
      <w:r>
        <w:t xml:space="preserve">Not required.</w:t>
      </w:r>
      <w:r>
        <w:t xml:space="preserve"> </w:t>
      </w:r>
    </w:p>
    <w:bookmarkEnd w:id="56"/>
    <w:bookmarkStart w:id="57"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7"/>
    <w:bookmarkStart w:id="58"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2"/>
    <w:bookmarkEnd w:id="63"/>
    <w:bookmarkStart w:id="67"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4"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1"/>
    <w:bookmarkStart w:id="102"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2"/>
    <w:bookmarkEnd w:id="103"/>
    <w:bookmarkEnd w:id="104"/>
    <w:bookmarkStart w:id="13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3" w:name="threshold-requirements-24"/>
    <w:p>
      <w:pPr>
        <w:pStyle w:val="berschrift5"/>
      </w:pPr>
      <w:r>
        <w:t xml:space="preserve">Threshold requirements:</w:t>
      </w:r>
    </w:p>
    <w:p>
      <w:pPr>
        <w:pStyle w:val="FirstParagraph"/>
      </w:pPr>
      <w:r>
        <w:t xml:space="preserve">Provide average solar and sensor viewing azimuth and zenith angles.</w:t>
      </w:r>
    </w:p>
    <w:bookmarkEnd w:id="133"/>
    <w:bookmarkStart w:id="134" w:name="goal-requirements-24"/>
    <w:p>
      <w:pPr>
        <w:pStyle w:val="berschrift5"/>
      </w:pPr>
      <w:r>
        <w:t xml:space="preserve">Goal requirements:</w:t>
      </w:r>
    </w:p>
    <w:p>
      <w:pPr>
        <w:pStyle w:val="FirstParagraph"/>
      </w:pPr>
      <w:r>
        <w:t xml:space="preserve">Provide per-pixel solar and sensor viewing azimuth and zenith angles.</w:t>
      </w:r>
    </w:p>
    <w:bookmarkEnd w:id="134"/>
    <w:bookmarkStart w:id="135"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5"/>
    <w:bookmarkEnd w:id="136"/>
    <w:bookmarkEnd w:id="137"/>
    <w:bookmarkStart w:id="150"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1"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38"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38"/>
    <w:bookmarkStart w:id="139"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ace-st">
        <w:r>
          <w:rPr>
            <w:rStyle w:val="Hyperlink"/>
          </w:rPr>
          <w:t xml:space="preserve">General Metadata: Traceability</w:t>
        </w:r>
      </w:hyperlink>
      <w:r>
        <w:t xml:space="preserve">”</w:t>
      </w:r>
      <w:r>
        <w:t xml:space="preserve">).</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2"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4"/>
    <w:bookmarkEnd w:id="145"/>
    <w:bookmarkStart w:id="149"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6" w:name="threshold-requirements-27"/>
    <w:p>
      <w:pPr>
        <w:pStyle w:val="berschrift5"/>
      </w:pPr>
      <w:r>
        <w:t xml:space="preserve">Threshold requirements:</w:t>
      </w:r>
    </w:p>
    <w:p>
      <w:pPr>
        <w:pStyle w:val="FirstParagraph"/>
      </w:pPr>
      <w:r>
        <w:t xml:space="preserve">Not required.</w:t>
      </w:r>
      <w:r>
        <w:t xml:space="preserve"> </w:t>
      </w:r>
    </w:p>
    <w:bookmarkEnd w:id="146"/>
    <w:bookmarkStart w:id="147"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7"/>
    <w:bookmarkStart w:id="148"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8"/>
    <w:bookmarkEnd w:id="149"/>
    <w:bookmarkEnd w:id="150"/>
    <w:bookmarkStart w:id="155"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4"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1"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1"/>
    <w:bookmarkStart w:id="152"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2"/>
    <w:bookmarkStart w:id="153"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3"/>
    <w:bookmarkEnd w:id="154"/>
    <w:bookmarkEnd w:id="155"/>
    <w:bookmarkEnd w:id="156"/>
    <w:bookmarkStart w:id="161" w:name="summary-self-assessment-table"/>
    <w:p>
      <w:pPr>
        <w:pStyle w:val="berschrift2"/>
      </w:pPr>
      <w:r>
        <w:t xml:space="preserve">Summary Self-Assessment Table</w:t>
      </w:r>
    </w:p>
    <w:bookmarkStart w:id="1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7"/>
    <w:bookmarkStart w:id="158"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58"/>
    <w:bookmarkStart w:id="159"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9"/>
    <w:bookmarkStart w:id="16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0"/>
    <w:bookmarkEnd w:id="161"/>
    <w:bookmarkStart w:id="1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2"/>
    <w:bookmarkStart w:id="1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4"/>
    <w:bookmarkStart w:id="1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5"/>
    <w:bookmarkEnd w:id="166"/>
    <w:bookmarkStart w:id="173" w:name="references"/>
    <w:p>
      <w:pPr>
        <w:pStyle w:val="berschrift2"/>
      </w:pPr>
      <w:r>
        <w:t xml:space="preserve">References</w:t>
      </w:r>
    </w:p>
    <w:bookmarkStart w:id="172" w:name="refs"/>
    <w:bookmarkStart w:id="168"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7">
        <w:r>
          <w:rPr>
            <w:rStyle w:val="Hyperlink"/>
          </w:rPr>
          <w:t xml:space="preserve">https://doi.org/10.3390/rs61111244</w:t>
        </w:r>
      </w:hyperlink>
      <w:r>
        <w:t xml:space="preserve">.</w:t>
      </w:r>
    </w:p>
    <w:bookmarkEnd w:id="168"/>
    <w:bookmarkStart w:id="1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9"/>
    <w:bookmarkStart w:id="171"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0">
        <w:r>
          <w:rPr>
            <w:rStyle w:val="Hyperlink"/>
          </w:rPr>
          <w:t xml:space="preserve">https://doi.org/10.1016/j.rse.2012.12.008</w:t>
        </w:r>
      </w:hyperlink>
      <w:r>
        <w:t xml:space="preserve">.</w:t>
      </w:r>
    </w:p>
    <w:bookmarkEnd w:id="171"/>
    <w:bookmarkEnd w:id="172"/>
    <w:p>
      <w:r>
        <w:br w:type="page"/>
      </w:r>
    </w:p>
    <w:bookmarkEnd w:id="173"/>
    <w:bookmarkStart w:id="197" w:name="annexes"/>
    <w:p>
      <w:pPr>
        <w:pStyle w:val="berschrift2"/>
      </w:pPr>
      <w:r>
        <w:t xml:space="preserve">Annexes</w:t>
      </w:r>
    </w:p>
    <w:bookmarkStart w:id="174" w:name="sec:annex-st-metadata-examples"/>
    <w:p>
      <w:pPr>
        <w:pStyle w:val="berschrift3"/>
      </w:pPr>
      <w:r>
        <w:t xml:space="preserve">CEOS-ARD Requirement Examples (Surface Temperature)</w:t>
      </w:r>
    </w:p>
    <w:bookmarkEnd w:id="174"/>
    <w:bookmarkStart w:id="187" w:name="general-metadata-1"/>
    <w:p>
      <w:pPr>
        <w:pStyle w:val="berschrift3"/>
      </w:pPr>
      <w:r>
        <w:t xml:space="preserve">General Metadata</w:t>
      </w:r>
    </w:p>
    <w:bookmarkStart w:id="175" w:name="traceability"/>
    <w:p>
      <w:pPr>
        <w:pStyle w:val="berschrift4"/>
      </w:pPr>
      <w:r>
        <w:t xml:space="preserve">Traceability</w:t>
      </w:r>
    </w:p>
    <w:p>
      <w:pPr>
        <w:pStyle w:val="FirstParagraph"/>
      </w:pPr>
      <w:r>
        <w:t xml:space="preserve">Refers to Section </w:t>
      </w:r>
      <w:r>
        <w:t xml:space="preserve">“</w:t>
      </w:r>
      <w:hyperlink w:anchor="sec:meta-trace-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5"/>
    <w:bookmarkStart w:id="176" w:name="data-collection-time"/>
    <w:p>
      <w:pPr>
        <w:pStyle w:val="berschrift4"/>
      </w:pPr>
      <w:r>
        <w:t xml:space="preserve">Data Collection Time</w:t>
      </w:r>
    </w:p>
    <w:p>
      <w:pPr>
        <w:pStyle w:val="FirstParagraph"/>
      </w:pPr>
      <w:r>
        <w:t xml:space="preserve">Refers to Section </w:t>
      </w:r>
      <w:r>
        <w:t xml:space="preserve">“</w:t>
      </w:r>
      <w:hyperlink w:anchor="sec:meta-time-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6"/>
    <w:bookmarkStart w:id="177" w:name="geographical-area"/>
    <w:p>
      <w:pPr>
        <w:pStyle w:val="berschrift4"/>
      </w:pPr>
      <w:r>
        <w:t xml:space="preserve">Geographical Area</w:t>
      </w:r>
    </w:p>
    <w:p>
      <w:pPr>
        <w:pStyle w:val="FirstParagraph"/>
      </w:pPr>
      <w:r>
        <w:t xml:space="preserve">Refers to Section </w:t>
      </w:r>
      <w:r>
        <w:t xml:space="preserve">“</w:t>
      </w:r>
      <w:hyperlink w:anchor="sec:meta-geoare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7"/>
    <w:bookmarkStart w:id="178" w:name="map-projection"/>
    <w:p>
      <w:pPr>
        <w:pStyle w:val="berschrift4"/>
      </w:pPr>
      <w:r>
        <w:t xml:space="preserve">Map Projection</w:t>
      </w:r>
    </w:p>
    <w:p>
      <w:pPr>
        <w:pStyle w:val="FirstParagraph"/>
      </w:pPr>
      <w:r>
        <w:t xml:space="preserve">Refers to Section </w:t>
      </w:r>
      <w:r>
        <w:t xml:space="preserve">“</w:t>
      </w:r>
      <w:hyperlink w:anchor="sec:meta-mapproj-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8"/>
    <w:bookmarkStart w:id="179" w:name="geometric-correction-source"/>
    <w:p>
      <w:pPr>
        <w:pStyle w:val="berschrift4"/>
      </w:pPr>
      <w:r>
        <w:t xml:space="preserve">Geometric Correction Source</w:t>
      </w:r>
    </w:p>
    <w:p>
      <w:pPr>
        <w:pStyle w:val="FirstParagraph"/>
      </w:pPr>
      <w:r>
        <w:t xml:space="preserve">Refers to Section </w:t>
      </w:r>
      <w:r>
        <w:t xml:space="preserve">“</w:t>
      </w:r>
      <w:hyperlink w:anchor="sec:meta-geocor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9"/>
    <w:bookmarkStart w:id="180" w:name="geometric-accuracy-of-the-data"/>
    <w:p>
      <w:pPr>
        <w:pStyle w:val="berschrift4"/>
      </w:pPr>
      <w:r>
        <w:t xml:space="preserve">Geometric Accuracy of the Data</w:t>
      </w:r>
    </w:p>
    <w:p>
      <w:pPr>
        <w:pStyle w:val="FirstParagraph"/>
      </w:pPr>
      <w:r>
        <w:t xml:space="preserve">Refers to Section </w:t>
      </w:r>
      <w:r>
        <w:t xml:space="preserve">“</w:t>
      </w:r>
      <w:hyperlink w:anchor="sec:meta-geoacc-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0"/>
    <w:bookmarkStart w:id="181" w:name="instrument"/>
    <w:p>
      <w:pPr>
        <w:pStyle w:val="berschrift4"/>
      </w:pPr>
      <w:r>
        <w:t xml:space="preserve">Instrument</w:t>
      </w:r>
    </w:p>
    <w:p>
      <w:pPr>
        <w:pStyle w:val="FirstParagraph"/>
      </w:pPr>
      <w:r>
        <w:t xml:space="preserve">Refers to Section </w:t>
      </w:r>
      <w:r>
        <w:t xml:space="preserve">“</w:t>
      </w:r>
      <w:hyperlink w:anchor="sec:meta-instru-optical">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1"/>
    <w:bookmarkStart w:id="182" w:name="sensor-calibration"/>
    <w:p>
      <w:pPr>
        <w:pStyle w:val="berschrift4"/>
      </w:pPr>
      <w:r>
        <w:t xml:space="preserve">Sensor Calibration</w:t>
      </w:r>
    </w:p>
    <w:p>
      <w:pPr>
        <w:pStyle w:val="FirstParagraph"/>
      </w:pPr>
      <w:r>
        <w:t xml:space="preserve">Refers to Section </w:t>
      </w:r>
      <w:r>
        <w:t xml:space="preserve">“</w:t>
      </w:r>
      <w:hyperlink w:anchor="sec:meta-sencal-optical">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2"/>
    <w:bookmarkStart w:id="183" w:name="algorithms"/>
    <w:p>
      <w:pPr>
        <w:pStyle w:val="berschrift4"/>
      </w:pPr>
      <w:r>
        <w:t xml:space="preserve">Algorithms</w:t>
      </w:r>
    </w:p>
    <w:p>
      <w:pPr>
        <w:pStyle w:val="FirstParagraph"/>
      </w:pPr>
      <w:r>
        <w:t xml:space="preserve">Refers to Section </w:t>
      </w:r>
      <w:r>
        <w:t xml:space="preserve">“</w:t>
      </w:r>
      <w:hyperlink w:anchor="sec:meta-malgos-st">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3"/>
    <w:bookmarkStart w:id="184" w:name="auxiliary-data"/>
    <w:p>
      <w:pPr>
        <w:pStyle w:val="berschrift4"/>
      </w:pPr>
      <w:r>
        <w:t xml:space="preserve">Auxiliary Data</w:t>
      </w:r>
    </w:p>
    <w:p>
      <w:pPr>
        <w:pStyle w:val="FirstParagraph"/>
      </w:pPr>
      <w:r>
        <w:t xml:space="preserve">Refers to Section </w:t>
      </w:r>
      <w:r>
        <w:t xml:space="preserve">“</w:t>
      </w:r>
      <w:hyperlink w:anchor="sec:meta-auxdat-optical">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4"/>
    <w:bookmarkStart w:id="185" w:name="processing-chain-provenance"/>
    <w:p>
      <w:pPr>
        <w:pStyle w:val="berschrift4"/>
      </w:pPr>
      <w:r>
        <w:t xml:space="preserve">Processing Chain Provenance</w:t>
      </w:r>
    </w:p>
    <w:p>
      <w:pPr>
        <w:pStyle w:val="FirstParagraph"/>
      </w:pPr>
      <w:r>
        <w:t xml:space="preserve">Refers to Section </w:t>
      </w:r>
      <w:r>
        <w:t xml:space="preserve">“</w:t>
      </w:r>
      <w:hyperlink w:anchor="sec:meta-proprov-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5"/>
    <w:bookmarkStart w:id="186" w:name="overall-data-quality"/>
    <w:p>
      <w:pPr>
        <w:pStyle w:val="berschrift4"/>
      </w:pPr>
      <w:r>
        <w:t xml:space="preserve">Overall Data Quality</w:t>
      </w:r>
    </w:p>
    <w:p>
      <w:pPr>
        <w:pStyle w:val="FirstParagraph"/>
      </w:pPr>
      <w:r>
        <w:t xml:space="preserve">Refers to Section </w:t>
      </w:r>
      <w:r>
        <w:t xml:space="preserve">“</w:t>
      </w:r>
      <w:hyperlink w:anchor="sec:meta-odqua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6"/>
    <w:bookmarkEnd w:id="187"/>
    <w:bookmarkStart w:id="194" w:name="per-pixel-metadata-1"/>
    <w:p>
      <w:pPr>
        <w:pStyle w:val="berschrift3"/>
      </w:pPr>
      <w:r>
        <w:t xml:space="preserve">Per-Pixel Metadata</w:t>
      </w:r>
    </w:p>
    <w:bookmarkStart w:id="188" w:name="no-data"/>
    <w:p>
      <w:pPr>
        <w:pStyle w:val="berschrift4"/>
      </w:pPr>
      <w:r>
        <w:t xml:space="preserve">No Data</w:t>
      </w:r>
    </w:p>
    <w:p>
      <w:pPr>
        <w:pStyle w:val="FirstParagraph"/>
      </w:pPr>
      <w:r>
        <w:t xml:space="preserve">Refers to Section </w:t>
      </w:r>
      <w:r>
        <w:t xml:space="preserve">“</w:t>
      </w:r>
      <w:hyperlink w:anchor="sec:pxl-pinoda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incomplete-testing"/>
    <w:p>
      <w:pPr>
        <w:pStyle w:val="berschrift4"/>
      </w:pPr>
      <w:r>
        <w:t xml:space="preserve">Incomplete Testing</w:t>
      </w:r>
    </w:p>
    <w:p>
      <w:pPr>
        <w:pStyle w:val="FirstParagraph"/>
      </w:pPr>
      <w:r>
        <w:t xml:space="preserve">Refers to Section </w:t>
      </w:r>
      <w:r>
        <w:t xml:space="preserve">“</w:t>
      </w:r>
      <w:hyperlink w:anchor="sec:pxl-pinco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9"/>
    <w:bookmarkStart w:id="190" w:name="saturation"/>
    <w:p>
      <w:pPr>
        <w:pStyle w:val="berschrift4"/>
      </w:pPr>
      <w:r>
        <w:t xml:space="preserve">Saturation</w:t>
      </w:r>
    </w:p>
    <w:p>
      <w:pPr>
        <w:pStyle w:val="FirstParagraph"/>
      </w:pPr>
      <w:r>
        <w:t xml:space="preserve">Refers to Section </w:t>
      </w:r>
      <w:r>
        <w:t xml:space="preserve">“</w:t>
      </w:r>
      <w:hyperlink w:anchor="sec:pxl-pisatur">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0"/>
    <w:bookmarkStart w:id="191" w:name="cloud"/>
    <w:p>
      <w:pPr>
        <w:pStyle w:val="berschrift4"/>
      </w:pPr>
      <w:r>
        <w:t xml:space="preserve">Cloud</w:t>
      </w:r>
    </w:p>
    <w:p>
      <w:pPr>
        <w:pStyle w:val="FirstParagraph"/>
      </w:pPr>
      <w:r>
        <w:t xml:space="preserve">Refers to Section </w:t>
      </w:r>
      <w:r>
        <w:t xml:space="preserve">“</w:t>
      </w:r>
      <w:hyperlink w:anchor="sec:pxl-piclou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1"/>
    <w:bookmarkStart w:id="192" w:name="cloud-shadow"/>
    <w:p>
      <w:pPr>
        <w:pStyle w:val="berschrift4"/>
      </w:pPr>
      <w:r>
        <w:t xml:space="preserve">Cloud Shadow</w:t>
      </w:r>
    </w:p>
    <w:p>
      <w:pPr>
        <w:pStyle w:val="FirstParagraph"/>
      </w:pPr>
      <w:r>
        <w:t xml:space="preserve">Refers to Section </w:t>
      </w:r>
      <w:r>
        <w:t xml:space="preserve">“</w:t>
      </w:r>
      <w:hyperlink w:anchor="sec:pxl-picloudsh">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2"/>
    <w:bookmarkStart w:id="193" w:name="snowice-mask"/>
    <w:p>
      <w:pPr>
        <w:pStyle w:val="berschrift4"/>
      </w:pPr>
      <w:r>
        <w:t xml:space="preserve">Snow/Ice Mask</w:t>
      </w:r>
    </w:p>
    <w:p>
      <w:pPr>
        <w:pStyle w:val="FirstParagraph"/>
      </w:pPr>
      <w:r>
        <w:t xml:space="preserve">Refers to Section </w:t>
      </w:r>
      <w:r>
        <w:t xml:space="preserve">“</w:t>
      </w:r>
      <w:hyperlink w:anchor="sec:pxl-snowice-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3"/>
    <w:bookmarkEnd w:id="194"/>
    <w:bookmarkStart w:id="195" w:name="X28ed3ea323a9ca6f7226af18ce59e0b82f609b5"/>
    <w:p>
      <w:pPr>
        <w:pStyle w:val="berschrift3"/>
      </w:pPr>
      <w:r>
        <w:t xml:space="preserve">Radiometric and Atmospheric Corrections</w:t>
      </w:r>
    </w:p>
    <w:p>
      <w:pPr>
        <w:pStyle w:val="FirstParagraph"/>
      </w:pPr>
      <w:r>
        <w:t xml:space="preserve">No examples provided</w:t>
      </w:r>
    </w:p>
    <w:bookmarkEnd w:id="195"/>
    <w:bookmarkStart w:id="196" w:name="geometric-corrections-1"/>
    <w:p>
      <w:pPr>
        <w:pStyle w:val="berschrift3"/>
      </w:pPr>
      <w:r>
        <w:t xml:space="preserve">Geometric Corrections</w:t>
      </w:r>
    </w:p>
    <w:p>
      <w:pPr>
        <w:pStyle w:val="FirstParagraph"/>
      </w:pPr>
      <w:r>
        <w:t xml:space="preserve">No examples provided</w:t>
      </w:r>
    </w:p>
    <w:bookmarkEnd w:id="196"/>
    <w:bookmarkEnd w:id="197"/>
    <w:bookmarkEnd w:id="198"/>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6" Target="https://anab.qualtraxcloud.com/ShowDocument.aspx?ID=6532" TargetMode="External" /><Relationship Type="http://schemas.openxmlformats.org/officeDocument/2006/relationships/hyperlink" Id="rId35" Target="https://anab.qualtraxcloud.com/ShowDocument.aspx?ID=6536" TargetMode="External" /><Relationship Type="http://schemas.openxmlformats.org/officeDocument/2006/relationships/hyperlink" Id="rId23" Target="https://ceos.org/ard" TargetMode="External" /><Relationship Type="http://schemas.openxmlformats.org/officeDocument/2006/relationships/hyperlink" Id="rId163" Target="https://ceos.org/ard/files/CEOS_ARD_Governance_Framework_18-October-2021.pdf" TargetMode="External" /><Relationship Type="http://schemas.openxmlformats.org/officeDocument/2006/relationships/hyperlink" Id="rId170" Target="https://doi.org/10.1016/j.rse.2012.12.008" TargetMode="External" /><Relationship Type="http://schemas.openxmlformats.org/officeDocument/2006/relationships/hyperlink" Id="rId167" Target="https://doi.org/10.3390/rs61111244"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6" Target="https://anab.qualtraxcloud.com/ShowDocument.aspx?ID=6532" TargetMode="External" /><Relationship Type="http://schemas.openxmlformats.org/officeDocument/2006/relationships/hyperlink" Id="rId35" Target="https://anab.qualtraxcloud.com/ShowDocument.aspx?ID=6536" TargetMode="External" /><Relationship Type="http://schemas.openxmlformats.org/officeDocument/2006/relationships/hyperlink" Id="rId23" Target="https://ceos.org/ard" TargetMode="External" /><Relationship Type="http://schemas.openxmlformats.org/officeDocument/2006/relationships/hyperlink" Id="rId163" Target="https://ceos.org/ard/files/CEOS_ARD_Governance_Framework_18-October-2021.pdf" TargetMode="External" /><Relationship Type="http://schemas.openxmlformats.org/officeDocument/2006/relationships/hyperlink" Id="rId170" Target="https://doi.org/10.1016/j.rse.2012.12.008" TargetMode="External" /><Relationship Type="http://schemas.openxmlformats.org/officeDocument/2006/relationships/hyperlink" Id="rId167" Target="https://doi.org/10.3390/rs61111244"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2026-04-23T19:01:15Z</dcterms:created>
  <dcterms:modified xsi:type="dcterms:W3CDTF">2026-04-23T19:01:15Z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