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4.png" ContentType="image/png"/>
  <Override PartName="/word/media/rId300.png" ContentType="image/png"/>
  <Override PartName="/word/media/rId308.png" ContentType="image/png"/>
  <Override PartName="/word/media/rId320.png" ContentType="image/png"/>
  <Override PartName="/word/media/rId312.png" ContentType="image/png"/>
  <Override PartName="/word/media/rId3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6"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9"/>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5"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ma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meta-mrdsar</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prdtyp"/>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meta-prdtyp</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tim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meta-timsar</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pacq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src-acqid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src-dac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src-dacsrc</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5" w:name="sec:src-ins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src-inssar</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4"/>
    <w:bookmarkEnd w:id="65"/>
    <w:bookmarkStart w:id="69" w:name="sec:src-tim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src-timsrc</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8"/>
    <w:bookmarkEnd w:id="69"/>
    <w:bookmarkStart w:id="73"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2"/>
    <w:bookmarkEnd w:id="73"/>
    <w:bookmarkStart w:id="78"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4"/>
      </w:r>
    </w:p>
    <w:p>
      <w:pPr>
        <w:pStyle w:val="Compact"/>
        <w:numPr>
          <w:ilvl w:val="0"/>
          <w:numId w:val="1016"/>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6"/>
    <w:bookmarkStart w:id="77"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src-prc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src-prcpar</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1"/>
    <w:bookmarkEnd w:id="82"/>
    <w:bookmarkStart w:id="86" w:name="sec:src-imgatt"/>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5"/>
    <w:bookmarkEnd w:id="86"/>
    <w:bookmarkStart w:id="90" w:name="sec:src-sca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src-scasar</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9"/>
    <w:bookmarkEnd w:id="90"/>
    <w:bookmarkStart w:id="94" w:name="sec:src-p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src-prfind</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src-polcal"/>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src-mfrang"/>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src-mfrang</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1"/>
    <w:bookmarkEnd w:id="102"/>
    <w:bookmarkStart w:id="106"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5"/>
    <w:bookmarkEnd w:id="106"/>
    <w:bookmarkEnd w:id="107"/>
    <w:bookmarkStart w:id="157"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dacpr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prd-dacprd</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rd-auxdat"/>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30"/>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4"/>
    <w:bookmarkEnd w:id="115"/>
    <w:bookmarkStart w:id="119" w:name="sec:prd-smpspc"/>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prd-smpspc</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8"/>
    <w:bookmarkEnd w:id="119"/>
    <w:bookmarkStart w:id="123"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2"/>
    <w:bookmarkEnd w:id="123"/>
    <w:bookmarkStart w:id="127"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5"/>
    <w:bookmarkStart w:id="126"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rd-spkflt"/>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prd-spkflt</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0"/>
    <w:bookmarkEnd w:id="131"/>
    <w:bookmarkStart w:id="135" w:name="sec:prd-geob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40"/>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4"/>
    <w:bookmarkEnd w:id="135"/>
    <w:bookmarkStart w:id="139" w:name="sec:prd-geoare"/>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38"/>
    <w:bookmarkEnd w:id="139"/>
    <w:bookmarkStart w:id="143" w:name="sec:prd-imgsiz"/>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2"/>
    <w:bookmarkEnd w:id="143"/>
    <w:bookmarkStart w:id="147" w:name="sec:prd-pxconv"/>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prd-pxconv</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6"/>
    <w:bookmarkEnd w:id="147"/>
    <w:bookmarkStart w:id="151" w:name="sec:prd-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0"/>
    <w:bookmarkEnd w:id="151"/>
    <w:bookmarkStart w:id="156" w:name="sec:prd-lookd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prd-lookdp</w:t>
      </w:r>
    </w:p>
    <w:bookmarkStart w:id="153"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plkdr">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2"/>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3"/>
    <w:bookmarkStart w:id="154" w:name="goal-requirements-29"/>
    <w:p>
      <w:pPr>
        <w:pStyle w:val="berschrift5"/>
      </w:pPr>
      <w:r>
        <w:t xml:space="preserve">Goal requirements:</w:t>
      </w:r>
    </w:p>
    <w:p>
      <w:pPr>
        <w:pStyle w:val="FirstParagraph"/>
      </w:pPr>
      <w:r>
        <w:t xml:space="preserve">As threshold.</w:t>
      </w:r>
      <w:r>
        <w:t xml:space="preserve"> </w:t>
      </w:r>
    </w:p>
    <w:bookmarkEnd w:id="154"/>
    <w:bookmarkStart w:id="155"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5"/>
    <w:bookmarkEnd w:id="156"/>
    <w:bookmarkEnd w:id="157"/>
    <w:bookmarkStart w:id="198"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61" w:name="sec:pxl-cldopt"/>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pxl-cldopt</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All files are provided using cloud-optimized file formats.</w:t>
      </w:r>
    </w:p>
    <w:bookmarkEnd w:id="159"/>
    <w:bookmarkStart w:id="160"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0"/>
    <w:bookmarkEnd w:id="161"/>
    <w:bookmarkStart w:id="165" w:name="sec:pxl-mrd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pxl-mrdsar</w:t>
      </w:r>
    </w:p>
    <w:bookmarkStart w:id="162"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2"/>
    <w:bookmarkStart w:id="163"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3"/>
    <w:bookmarkStart w:id="164"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4"/>
    <w:bookmarkEnd w:id="165"/>
    <w:bookmarkStart w:id="169" w:name="sec:pxl-ppmask"/>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pxl-ppmask</w:t>
      </w:r>
    </w:p>
    <w:bookmarkStart w:id="166"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6"/>
    <w:bookmarkStart w:id="167"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7"/>
    <w:bookmarkStart w:id="168"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8"/>
    <w:bookmarkEnd w:id="169"/>
    <w:bookmarkStart w:id="173" w:name="sec:pxl-ppsc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pxl-ppscta</w:t>
      </w:r>
    </w:p>
    <w:p>
      <w:pPr>
        <w:pStyle w:val="Textkrper"/>
      </w:pPr>
      <w:r>
        <w:rPr>
          <w:b/>
          <w:bCs/>
        </w:rPr>
        <w:t xml:space="preserve">Usage: Recommended for scenes that include land areas.</w:t>
      </w:r>
    </w:p>
    <w:bookmarkStart w:id="170" w:name="threshold-requirements-33"/>
    <w:p>
      <w:pPr>
        <w:pStyle w:val="berschrift5"/>
      </w:pPr>
      <w:r>
        <w:t xml:space="preserve">Threshold requirements:</w:t>
      </w:r>
    </w:p>
    <w:p>
      <w:pPr>
        <w:pStyle w:val="FirstParagraph"/>
      </w:pPr>
      <w:r>
        <w:t xml:space="preserve">Not required.</w:t>
      </w:r>
      <w:r>
        <w:t xml:space="preserve"> </w:t>
      </w:r>
    </w:p>
    <w:bookmarkEnd w:id="170"/>
    <w:bookmarkStart w:id="171"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1"/>
    <w:bookmarkStart w:id="172"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2"/>
    <w:bookmarkEnd w:id="173"/>
    <w:bookmarkStart w:id="177" w:name="sec:pxl-ppli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pxl-pplia</w:t>
      </w:r>
    </w:p>
    <w:bookmarkStart w:id="174"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Notes:</w:t>
      </w:r>
    </w:p>
    <w:p>
      <w:pPr>
        <w:pStyle w:val="Compact"/>
        <w:numPr>
          <w:ilvl w:val="0"/>
          <w:numId w:val="1058"/>
        </w:numPr>
      </w:pPr>
      <w:r>
        <w:t xml:space="preserve">For maritime ORB scenes when no land areas are covered, a geoid model could be used for the calculation of the local incident angle.</w:t>
      </w:r>
    </w:p>
    <w:bookmarkEnd w:id="174"/>
    <w:bookmarkStart w:id="175" w:name="goal-requirements-34"/>
    <w:p>
      <w:pPr>
        <w:pStyle w:val="berschrift5"/>
      </w:pPr>
      <w:r>
        <w:t xml:space="preserve">Goal requirements:</w:t>
      </w:r>
    </w:p>
    <w:p>
      <w:pPr>
        <w:pStyle w:val="FirstParagraph"/>
      </w:pPr>
      <w:r>
        <w:t xml:space="preserve">As threshold.</w:t>
      </w:r>
      <w:r>
        <w:t xml:space="preserve"> </w:t>
      </w:r>
    </w:p>
    <w:bookmarkEnd w:id="175"/>
    <w:bookmarkStart w:id="176"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6"/>
    <w:bookmarkEnd w:id="177"/>
    <w:bookmarkStart w:id="181" w:name="sec:pxl-ppeli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pxl-ppelia</w:t>
      </w:r>
    </w:p>
    <w:bookmarkStart w:id="178" w:name="threshold-requirements-35"/>
    <w:p>
      <w:pPr>
        <w:pStyle w:val="berschrift5"/>
      </w:pPr>
      <w:r>
        <w:t xml:space="preserve">Threshold requirements:</w:t>
      </w:r>
    </w:p>
    <w:p>
      <w:pPr>
        <w:pStyle w:val="FirstParagraph"/>
      </w:pPr>
      <w:r>
        <w:t xml:space="preserve">Not required.</w:t>
      </w:r>
      <w:r>
        <w:t xml:space="preserve"> </w:t>
      </w:r>
    </w:p>
    <w:bookmarkEnd w:id="178"/>
    <w:bookmarkStart w:id="179"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Notes:</w:t>
      </w:r>
    </w:p>
    <w:p>
      <w:pPr>
        <w:pStyle w:val="Compact"/>
        <w:numPr>
          <w:ilvl w:val="0"/>
          <w:numId w:val="1061"/>
        </w:numPr>
      </w:pPr>
      <w:r>
        <w:t xml:space="preserve">For maritime ORB scenes when no land areas are covered, the ellipsoidal incident angle is nearly identical to the geoid based local incident angle.</w:t>
      </w:r>
    </w:p>
    <w:bookmarkEnd w:id="179"/>
    <w:bookmarkStart w:id="180"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0"/>
    <w:bookmarkEnd w:id="181"/>
    <w:bookmarkStart w:id="185" w:name="sec:pxl-ppnsp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pxl-ppnspw</w:t>
      </w:r>
    </w:p>
    <w:bookmarkStart w:id="182" w:name="threshold-requirements-36"/>
    <w:p>
      <w:pPr>
        <w:pStyle w:val="berschrift5"/>
      </w:pPr>
      <w:r>
        <w:t xml:space="preserve">Threshold requirements:</w:t>
      </w:r>
    </w:p>
    <w:p>
      <w:pPr>
        <w:pStyle w:val="FirstParagraph"/>
      </w:pPr>
      <w:r>
        <w:t xml:space="preserve">Not required.</w:t>
      </w:r>
      <w:r>
        <w:t xml:space="preserve"> </w:t>
      </w:r>
    </w:p>
    <w:bookmarkEnd w:id="182"/>
    <w:bookmarkStart w:id="183"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3"/>
    <w:bookmarkStart w:id="184"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4"/>
    <w:bookmarkEnd w:id="185"/>
    <w:bookmarkStart w:id="189" w:name="sec:pxl-ppacq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pxl-ppacqd</w:t>
      </w:r>
    </w:p>
    <w:bookmarkStart w:id="186"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6"/>
    <w:bookmarkStart w:id="187" w:name="goal-requirements-37"/>
    <w:p>
      <w:pPr>
        <w:pStyle w:val="berschrift5"/>
      </w:pPr>
      <w:r>
        <w:t xml:space="preserve">Goal requirements:</w:t>
      </w:r>
    </w:p>
    <w:p>
      <w:pPr>
        <w:pStyle w:val="FirstParagraph"/>
      </w:pPr>
      <w:r>
        <w:t xml:space="preserve">In case of image composites, the sources for each pixel are uniquely identified.</w:t>
      </w:r>
    </w:p>
    <w:bookmarkEnd w:id="187"/>
    <w:bookmarkStart w:id="188"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8"/>
    <w:bookmarkEnd w:id="189"/>
    <w:bookmarkStart w:id="193" w:name="sec:pxl-ppgeo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pxl-ppgeod</w:t>
      </w:r>
    </w:p>
    <w:bookmarkStart w:id="190" w:name="threshold-requirements-38"/>
    <w:p>
      <w:pPr>
        <w:pStyle w:val="berschrift5"/>
      </w:pPr>
      <w:r>
        <w:t xml:space="preserve">Threshold requirements:</w:t>
      </w:r>
    </w:p>
    <w:p>
      <w:pPr>
        <w:pStyle w:val="FirstParagraph"/>
      </w:pPr>
      <w:r>
        <w:t xml:space="preserve">Not required.</w:t>
      </w:r>
      <w:r>
        <w:t xml:space="preserve"> </w:t>
      </w:r>
    </w:p>
    <w:bookmarkEnd w:id="190"/>
    <w:bookmarkStart w:id="191"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1"/>
    <w:bookmarkStart w:id="192"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2"/>
    <w:bookmarkEnd w:id="193"/>
    <w:bookmarkStart w:id="197" w:name="sec:pxl-pplkdr"/>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pxl-pplkdr</w:t>
      </w:r>
    </w:p>
    <w:bookmarkStart w:id="194" w:name="threshold-requirements-39"/>
    <w:p>
      <w:pPr>
        <w:pStyle w:val="berschrift5"/>
      </w:pPr>
      <w:r>
        <w:t xml:space="preserve">Threshold requirements:</w:t>
      </w:r>
    </w:p>
    <w:p>
      <w:pPr>
        <w:pStyle w:val="FirstParagraph"/>
      </w:pPr>
      <w:r>
        <w:t xml:space="preserve">Not required.</w:t>
      </w:r>
      <w:r>
        <w:t xml:space="preserve"> </w:t>
      </w:r>
    </w:p>
    <w:bookmarkEnd w:id="194"/>
    <w:bookmarkStart w:id="195"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5"/>
    <w:bookmarkStart w:id="196"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6"/>
    <w:bookmarkEnd w:id="197"/>
    <w:bookmarkEnd w:id="198"/>
    <w:bookmarkStart w:id="223"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2" w:name="sec:rcm-cldopt"/>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rcm-cldopt</w:t>
      </w:r>
    </w:p>
    <w:bookmarkStart w:id="199" w:name="threshold-requirements-40"/>
    <w:p>
      <w:pPr>
        <w:pStyle w:val="berschrift5"/>
      </w:pPr>
      <w:r>
        <w:t xml:space="preserve">Threshold requirements:</w:t>
      </w:r>
    </w:p>
    <w:p>
      <w:pPr>
        <w:pStyle w:val="FirstParagraph"/>
      </w:pPr>
      <w:r>
        <w:t xml:space="preserve">Not required.</w:t>
      </w:r>
      <w:r>
        <w:t xml:space="preserve"> </w:t>
      </w:r>
    </w:p>
    <w:bookmarkEnd w:id="199"/>
    <w:bookmarkStart w:id="200" w:name="goal-requirements-40"/>
    <w:p>
      <w:pPr>
        <w:pStyle w:val="berschrift5"/>
      </w:pPr>
      <w:r>
        <w:t xml:space="preserve">Goal requirements:</w:t>
      </w:r>
    </w:p>
    <w:p>
      <w:pPr>
        <w:pStyle w:val="FirstParagraph"/>
      </w:pPr>
      <w:r>
        <w:t xml:space="preserve">All files are provided using cloud-optimized file formats.</w:t>
      </w:r>
    </w:p>
    <w:bookmarkEnd w:id="200"/>
    <w:bookmarkStart w:id="201"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1"/>
    <w:bookmarkEnd w:id="202"/>
    <w:bookmarkStart w:id="206" w:name="sec:rcm-bs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rcm-bsorb</w:t>
      </w:r>
    </w:p>
    <w:bookmarkStart w:id="203"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Notes:</w:t>
      </w:r>
    </w:p>
    <w:p>
      <w:pPr>
        <w:pStyle w:val="Compact"/>
        <w:numPr>
          <w:ilvl w:val="0"/>
          <w:numId w:val="1073"/>
        </w:numPr>
      </w:pPr>
      <w:r>
        <w:t xml:space="preserve">Transformation to the logarithm decibel scale is not required or desired as this step can be easily completed by the user if necessary.</w:t>
      </w:r>
    </w:p>
    <w:bookmarkEnd w:id="203"/>
    <w:bookmarkStart w:id="204"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4"/>
    <w:bookmarkStart w:id="205"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5"/>
    <w:bookmarkEnd w:id="206"/>
    <w:bookmarkStart w:id="210" w:name="sec:rcm-sclc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rcm-sclcnv</w:t>
      </w:r>
    </w:p>
    <w:bookmarkStart w:id="207"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7"/>
    <w:bookmarkStart w:id="208" w:name="goal-requirements-42"/>
    <w:p>
      <w:pPr>
        <w:pStyle w:val="berschrift5"/>
      </w:pPr>
      <w:r>
        <w:t xml:space="preserve">Goal requirements:</w:t>
      </w:r>
    </w:p>
    <w:p>
      <w:pPr>
        <w:pStyle w:val="FirstParagraph"/>
      </w:pPr>
      <w:r>
        <w:t xml:space="preserve">As threshold, but use of float32.</w:t>
      </w:r>
    </w:p>
    <w:bookmarkEnd w:id="208"/>
    <w:bookmarkStart w:id="209"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9"/>
    <w:bookmarkEnd w:id="210"/>
    <w:bookmarkStart w:id="214" w:name="sec:rcm-nzrmvl"/>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rcm-nzrmvl</w:t>
      </w:r>
    </w:p>
    <w:bookmarkStart w:id="211"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6"/>
        </w:numPr>
      </w:pPr>
      <w:r>
        <w:t xml:space="preserve">Thermal noise removal and image border noise removal to remove overall scene noise and scene edge artefacts, respectively.</w:t>
      </w:r>
    </w:p>
    <w:bookmarkEnd w:id="211"/>
    <w:bookmarkStart w:id="212" w:name="goal-requirements-43"/>
    <w:p>
      <w:pPr>
        <w:pStyle w:val="berschrift5"/>
      </w:pPr>
      <w:r>
        <w:t xml:space="preserve">Goal requirements:</w:t>
      </w:r>
    </w:p>
    <w:p>
      <w:pPr>
        <w:pStyle w:val="FirstParagraph"/>
      </w:pPr>
      <w:r>
        <w:t xml:space="preserve">As threshold.</w:t>
      </w:r>
      <w:r>
        <w:t xml:space="preserve"> </w:t>
      </w:r>
    </w:p>
    <w:bookmarkEnd w:id="212"/>
    <w:bookmarkStart w:id="213"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3"/>
    <w:bookmarkEnd w:id="214"/>
    <w:bookmarkStart w:id="218" w:name="sec:rcm-rma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rcm-rmasar</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6"/>
    <w:bookmarkStart w:id="217"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7"/>
    <w:bookmarkEnd w:id="218"/>
    <w:bookmarkStart w:id="222" w:name="sec:rcm-mwnbs"/>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rcm-mwnbs</w:t>
      </w:r>
    </w:p>
    <w:p>
      <w:pPr>
        <w:pStyle w:val="Textkrper"/>
      </w:pPr>
      <w:r>
        <w:rPr>
          <w:b/>
          <w:bCs/>
        </w:rPr>
        <w:t xml:space="preserve">Usage:</w:t>
      </w:r>
      <w:r>
        <w:t xml:space="preserve"> </w:t>
      </w:r>
      <w:r>
        <w:t xml:space="preserve">Only for Maritime scenes.</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Notes:</w:t>
      </w:r>
    </w:p>
    <w:p>
      <w:pPr>
        <w:pStyle w:val="Compact"/>
        <w:numPr>
          <w:ilvl w:val="0"/>
          <w:numId w:val="1080"/>
        </w:numPr>
      </w:pPr>
      <w:r>
        <w:t xml:space="preserve">Reference wind model, wind speed and direction used for reference backscattering coefficient should be provided.</w:t>
      </w:r>
    </w:p>
    <w:bookmarkEnd w:id="220"/>
    <w:bookmarkStart w:id="221"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1"/>
    <w:bookmarkEnd w:id="222"/>
    <w:bookmarkEnd w:id="223"/>
    <w:bookmarkStart w:id="244"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7" w:name="sec:gcor-gm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gcor-gmcalg</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Notes:</w:t>
      </w:r>
    </w:p>
    <w:p>
      <w:pPr>
        <w:pStyle w:val="Compact"/>
        <w:numPr>
          <w:ilvl w:val="0"/>
          <w:numId w:val="1083"/>
        </w:numPr>
      </w:pPr>
      <w:r>
        <w:t xml:space="preserve">Examples of technical documentation can include e.g., an Algorithm Theoretical Basis Document (ATBD) or a product user guide.</w:t>
      </w:r>
    </w:p>
    <w:bookmarkEnd w:id="225"/>
    <w:bookmarkStart w:id="226"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6"/>
    <w:bookmarkEnd w:id="227"/>
    <w:bookmarkStart w:id="231" w:name="sec:gcor-cor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gcor-cordem</w:t>
      </w:r>
    </w:p>
    <w:p>
      <w:pPr>
        <w:pStyle w:val="Textkrper"/>
      </w:pPr>
      <w:r>
        <w:rPr>
          <w:b/>
          <w:bCs/>
        </w:rPr>
        <w:t xml:space="preserve">Usage: For products including land areas.</w:t>
      </w:r>
    </w:p>
    <w:bookmarkStart w:id="228"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28"/>
    <w:bookmarkStart w:id="229"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29"/>
    <w:bookmarkStart w:id="230"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0"/>
    <w:bookmarkEnd w:id="231"/>
    <w:bookmarkStart w:id="235" w:name="sec:gcor-geoac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gcor-geoacr</w:t>
      </w:r>
    </w:p>
    <w:bookmarkStart w:id="232"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2"/>
    <w:bookmarkStart w:id="233"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3"/>
    <w:bookmarkStart w:id="234"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4"/>
    <w:bookmarkEnd w:id="235"/>
    <w:bookmarkStart w:id="239" w:name="sec:gcor-georfa"/>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gcor-georfa</w:t>
      </w:r>
    </w:p>
    <w:bookmarkStart w:id="236" w:name="threshold-requirements-49"/>
    <w:p>
      <w:pPr>
        <w:pStyle w:val="berschrift5"/>
      </w:pPr>
      <w:r>
        <w:t xml:space="preserve">Threshold requirements:</w:t>
      </w:r>
    </w:p>
    <w:p>
      <w:pPr>
        <w:pStyle w:val="FirstParagraph"/>
      </w:pPr>
      <w:r>
        <w:t xml:space="preserve">Not required.</w:t>
      </w:r>
      <w:r>
        <w:t xml:space="preserve"> </w:t>
      </w:r>
    </w:p>
    <w:bookmarkEnd w:id="236"/>
    <w:bookmarkStart w:id="237" w:name="goal-requirements-49"/>
    <w:p>
      <w:pPr>
        <w:pStyle w:val="berschrift5"/>
      </w:pPr>
      <w:r>
        <w:t xml:space="preserve">Goal requirements:</w:t>
      </w:r>
    </w:p>
    <w:p>
      <w:pPr>
        <w:pStyle w:val="FirstParagraph"/>
      </w:pPr>
      <w:r>
        <w:t xml:space="preserve">Values provided under Section </w:t>
      </w:r>
      <w:r>
        <w:t xml:space="preserve">“</w:t>
      </w:r>
      <w:hyperlink w:anchor="sec:gcor-geoac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7"/>
    <w:bookmarkStart w:id="238"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8"/>
    <w:bookmarkEnd w:id="239"/>
    <w:bookmarkStart w:id="243" w:name="sec:gcor-gridc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gcor-gridcv</w:t>
      </w:r>
    </w:p>
    <w:bookmarkStart w:id="240"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0"/>
    <w:bookmarkStart w:id="241"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1"/>
    <w:bookmarkStart w:id="242"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2"/>
    <w:bookmarkEnd w:id="243"/>
    <w:bookmarkEnd w:id="244"/>
    <w:bookmarkEnd w:id="245"/>
    <w:bookmarkStart w:id="252" w:name="summary-self-assessment-table"/>
    <w:p>
      <w:pPr>
        <w:pStyle w:val="berschrift2"/>
      </w:pPr>
      <w:r>
        <w:t xml:space="preserve">Summary Self-Assessment Table</w:t>
      </w:r>
    </w:p>
    <w:bookmarkStart w:id="246"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meta-prdtyp</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6"/>
    <w:bookmarkStart w:id="247"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src-prcpar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src-scasar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src-mfrang</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7"/>
    <w:bookmarkStart w:id="248"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prd-dacprd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prd-smpspc</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prd-spkflt</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prd-pxconv</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48"/>
    <w:bookmarkStart w:id="249"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pxl-mrdsar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pxl-ppmask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pxl-ppscta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pxl-pplia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pxl-ppelia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pxl-ppnspw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pxl-ppacqd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pxl-ppgeod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pxl-pplkdr</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9"/>
    <w:bookmarkStart w:id="250"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rcm-cldopt</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rcm-bsorb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rcm-sclcnv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rcm-nzrmvl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rcm-rmasar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rcm-mwnbs</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0"/>
    <w:bookmarkStart w:id="251"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gcor-gmcalg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gcor-geoacr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gcor-georfa</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gcor-gridcv</w:t>
            </w:r>
          </w:p>
        </w:tc>
        <w:tc>
          <w:tcPr/>
          <w:p>
            <w:pPr>
              <w:pStyle w:val="Compact"/>
            </w:pPr>
            <w:r>
              <w:t xml:space="preserve">Gridding Convention</w:t>
            </w:r>
          </w:p>
        </w:tc>
        <w:tc>
          <w:tcPr/>
          <w:p>
            <w:pPr>
              <w:pStyle w:val="Compact"/>
            </w:pPr>
          </w:p>
        </w:tc>
        <w:tc>
          <w:tcPr/>
          <w:p>
            <w:pPr>
              <w:pStyle w:val="Compact"/>
            </w:pPr>
          </w:p>
        </w:tc>
      </w:tr>
    </w:tbl>
    <w:p>
      <w:r>
        <w:br w:type="page"/>
      </w:r>
    </w:p>
    <w:bookmarkEnd w:id="251"/>
    <w:bookmarkEnd w:id="252"/>
    <w:bookmarkStart w:id="257"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3"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3"/>
    <w:bookmarkStart w:id="255"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4">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5"/>
    <w:bookmarkStart w:id="256"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6"/>
    <w:bookmarkEnd w:id="257"/>
    <w:bookmarkStart w:id="278" w:name="references"/>
    <w:p>
      <w:pPr>
        <w:pStyle w:val="berschrift2"/>
      </w:pPr>
      <w:r>
        <w:t xml:space="preserve">References</w:t>
      </w:r>
    </w:p>
    <w:bookmarkStart w:id="277" w:name="refs"/>
    <w:bookmarkStart w:id="258"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58"/>
    <w:bookmarkStart w:id="260"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9">
        <w:r>
          <w:rPr>
            <w:rStyle w:val="Hyperlink"/>
          </w:rPr>
          <w:t xml:space="preserve">https://doi.org/10.1109/TGRS.2008.2002881</w:t>
        </w:r>
      </w:hyperlink>
      <w:r>
        <w:t xml:space="preserve">.</w:t>
      </w:r>
    </w:p>
    <w:bookmarkEnd w:id="260"/>
    <w:bookmarkStart w:id="262"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1">
        <w:r>
          <w:rPr>
            <w:rStyle w:val="Hyperlink"/>
          </w:rPr>
          <w:t xml:space="preserve">https://doi.org/10.1029/2011JE003986</w:t>
        </w:r>
      </w:hyperlink>
      <w:r>
        <w:t xml:space="preserve">.</w:t>
      </w:r>
    </w:p>
    <w:bookmarkEnd w:id="262"/>
    <w:bookmarkStart w:id="264"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3">
        <w:r>
          <w:rPr>
            <w:rStyle w:val="Hyperlink"/>
          </w:rPr>
          <w:t xml:space="preserve">https://doi.org/10.1109/TGRS.2022.3147472</w:t>
        </w:r>
      </w:hyperlink>
      <w:r>
        <w:t xml:space="preserve">.</w:t>
      </w:r>
    </w:p>
    <w:bookmarkEnd w:id="264"/>
    <w:bookmarkStart w:id="266"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5">
        <w:r>
          <w:rPr>
            <w:rStyle w:val="Hyperlink"/>
          </w:rPr>
          <w:t xml:space="preserve">https://doi.org/10.1109/TGRS.2011.2120616</w:t>
        </w:r>
      </w:hyperlink>
      <w:r>
        <w:t xml:space="preserve">.</w:t>
      </w:r>
    </w:p>
    <w:bookmarkEnd w:id="266"/>
    <w:bookmarkStart w:id="268"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7">
        <w:r>
          <w:rPr>
            <w:rStyle w:val="Hyperlink"/>
          </w:rPr>
          <w:t xml:space="preserve">https://doi.org/10.1080/07038992.2000.10874781</w:t>
        </w:r>
      </w:hyperlink>
      <w:r>
        <w:t xml:space="preserve">.</w:t>
      </w:r>
    </w:p>
    <w:bookmarkEnd w:id="268"/>
    <w:bookmarkStart w:id="270"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9">
        <w:r>
          <w:rPr>
            <w:rStyle w:val="Hyperlink"/>
          </w:rPr>
          <w:t xml:space="preserve">https://doi.org/10.1109/TGRS.2010.2099124</w:t>
        </w:r>
      </w:hyperlink>
      <w:r>
        <w:t xml:space="preserve">.</w:t>
      </w:r>
    </w:p>
    <w:bookmarkEnd w:id="270"/>
    <w:bookmarkStart w:id="272"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1">
        <w:r>
          <w:rPr>
            <w:rStyle w:val="Hyperlink"/>
          </w:rPr>
          <w:t xml:space="preserve">https://doi.org/10.1029/97JC01911</w:t>
        </w:r>
      </w:hyperlink>
      <w:r>
        <w:t xml:space="preserve">.</w:t>
      </w:r>
    </w:p>
    <w:bookmarkEnd w:id="272"/>
    <w:bookmarkStart w:id="274"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3">
        <w:r>
          <w:rPr>
            <w:rStyle w:val="Hyperlink"/>
          </w:rPr>
          <w:t xml:space="preserve">https://doi.org/10.1109/LGRS.2017.2753580</w:t>
        </w:r>
      </w:hyperlink>
      <w:r>
        <w:t xml:space="preserve">.</w:t>
      </w:r>
    </w:p>
    <w:bookmarkEnd w:id="274"/>
    <w:bookmarkStart w:id="276"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5">
        <w:r>
          <w:rPr>
            <w:rStyle w:val="Hyperlink"/>
          </w:rPr>
          <w:t xml:space="preserve">https://doi.org/10.1109/TGRS.2010.2051333</w:t>
        </w:r>
      </w:hyperlink>
      <w:r>
        <w:t xml:space="preserve">.</w:t>
      </w:r>
    </w:p>
    <w:bookmarkEnd w:id="276"/>
    <w:bookmarkEnd w:id="277"/>
    <w:p>
      <w:r>
        <w:br w:type="page"/>
      </w:r>
    </w:p>
    <w:bookmarkEnd w:id="278"/>
    <w:bookmarkStart w:id="325" w:name="annexes"/>
    <w:p>
      <w:pPr>
        <w:pStyle w:val="berschrift2"/>
      </w:pPr>
      <w:r>
        <w:t xml:space="preserve">Annexes</w:t>
      </w:r>
    </w:p>
    <w:bookmarkStart w:id="280"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9"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9"/>
    <w:bookmarkEnd w:id="280"/>
    <w:bookmarkStart w:id="292"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1"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1"/>
    </w:p>
    <w:p>
      <w:pPr>
        <w:pStyle w:val="FirstParagraph"/>
      </w:pPr>
      <w:r>
        <w:t xml:space="preserve">Where</w:t>
      </w:r>
    </w:p>
    <w:p>
      <w:pPr>
        <w:pStyle w:val="Textkrper"/>
      </w:pPr>
      <w:bookmarkStart w:id="282"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2"/>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3"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3"/>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4"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4"/>
    </w:p>
    <w:p>
      <w:pPr>
        <w:pStyle w:val="FirstParagraph"/>
      </w:pPr>
      <w:bookmarkStart w:id="285"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5"/>
    </w:p>
    <w:p>
      <w:pPr>
        <w:pStyle w:val="FirstParagraph"/>
      </w:pPr>
      <w:r>
        <w:t xml:space="preserve">The differential phase is</w:t>
      </w:r>
    </w:p>
    <w:p>
      <w:pPr>
        <w:pStyle w:val="Textkrper"/>
      </w:pPr>
      <w:bookmarkStart w:id="286"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6"/>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7"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7"/>
    </w:p>
    <w:p>
      <w:pPr>
        <w:pStyle w:val="FirstParagraph"/>
      </w:pPr>
      <w:bookmarkStart w:id="288"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88"/>
    </w:p>
    <w:p>
      <w:pPr>
        <w:pStyle w:val="FirstParagraph"/>
      </w:pPr>
      <w:bookmarkStart w:id="289"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9"/>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0"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0"/>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1"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1"/>
    </w:p>
    <w:bookmarkEnd w:id="292"/>
    <w:bookmarkStart w:id="299"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3"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3"/>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4"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4"/>
    </w:p>
    <w:p>
      <w:pPr>
        <w:pStyle w:val="FirstParagraph"/>
      </w:pPr>
      <w:bookmarkStart w:id="295"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5"/>
    </w:p>
    <w:p>
      <w:pPr>
        <w:pStyle w:val="FirstParagraph"/>
      </w:pPr>
      <w:bookmarkStart w:id="296"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6"/>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7"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7"/>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98"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98"/>
    </w:p>
    <w:bookmarkEnd w:id="299"/>
    <w:bookmarkStart w:id="324"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3" w:name="fig:sar-orb-example-fig1a"/>
    <w:p>
      <w:pPr>
        <w:pStyle w:val="CaptionedFigure"/>
      </w:pPr>
      <w:r>
        <w:drawing>
          <wp:inline>
            <wp:extent cx="3810000" cy="2540000"/>
            <wp:effectExtent b="0" l="0" r="0" t="0"/>
            <wp:docPr descr="Figure 1: VV intensity; Processing: A. Rosenqvist (soloEO)" title="" id="301" name="Picture"/>
            <a:graphic>
              <a:graphicData uri="http://schemas.openxmlformats.org/drawingml/2006/picture">
                <pic:pic>
                  <pic:nvPicPr>
                    <pic:cNvPr descr="assets/sar-orb-examples/S1-ORB-VV.png" id="302" name="Picture"/>
                    <pic:cNvPicPr>
                      <a:picLocks noChangeArrowheads="1" noChangeAspect="1"/>
                    </pic:cNvPicPr>
                  </pic:nvPicPr>
                  <pic:blipFill>
                    <a:blip r:embed="rId30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3"/>
    <w:bookmarkStart w:id="307" w:name="fig:sar-orb-example-fig1b"/>
    <w:p>
      <w:pPr>
        <w:pStyle w:val="CaptionedFigure"/>
      </w:pPr>
      <w:r>
        <w:drawing>
          <wp:inline>
            <wp:extent cx="3810000" cy="2540000"/>
            <wp:effectExtent b="0" l="0" r="0" t="0"/>
            <wp:docPr descr="Figure 2: VH intensity; Processing: A. Rosenqvist (soloEO)" title="" id="305" name="Picture"/>
            <a:graphic>
              <a:graphicData uri="http://schemas.openxmlformats.org/drawingml/2006/picture">
                <pic:pic>
                  <pic:nvPicPr>
                    <pic:cNvPr descr="assets/sar-orb-examples/S1-ORB-VH.png" id="306" name="Picture"/>
                    <pic:cNvPicPr>
                      <a:picLocks noChangeArrowheads="1" noChangeAspect="1"/>
                    </pic:cNvPicPr>
                  </pic:nvPicPr>
                  <pic:blipFill>
                    <a:blip r:embed="rId30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7"/>
    <w:bookmarkStart w:id="311" w:name="fig:sar-orb-example-fig1c"/>
    <w:p>
      <w:pPr>
        <w:pStyle w:val="CaptionedFigure"/>
      </w:pPr>
      <w:r>
        <w:drawing>
          <wp:inline>
            <wp:extent cx="3810000" cy="2540000"/>
            <wp:effectExtent b="0" l="0" r="0" t="0"/>
            <wp:docPr descr="Figure 3: Data mask image; Processing: A. Rosenqvist (soloEO)" title="" id="309" name="Picture"/>
            <a:graphic>
              <a:graphicData uri="http://schemas.openxmlformats.org/drawingml/2006/picture">
                <pic:pic>
                  <pic:nvPicPr>
                    <pic:cNvPr descr="assets/sar-orb-examples/S1-ORB-data-mask.png" id="310" name="Picture"/>
                    <pic:cNvPicPr>
                      <a:picLocks noChangeArrowheads="1" noChangeAspect="1"/>
                    </pic:cNvPicPr>
                  </pic:nvPicPr>
                  <pic:blipFill>
                    <a:blip r:embed="rId30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1"/>
    <w:bookmarkStart w:id="315" w:name="fig:sar-orb-example-fig1d"/>
    <w:p>
      <w:pPr>
        <w:pStyle w:val="CaptionedFigure"/>
      </w:pPr>
      <w:r>
        <w:drawing>
          <wp:inline>
            <wp:extent cx="3810000" cy="2540000"/>
            <wp:effectExtent b="0" l="0" r="0" t="0"/>
            <wp:docPr descr="Figure 4: Local incident angle; Processing: A. Rosenqvist (soloEO)" title="" id="313" name="Picture"/>
            <a:graphic>
              <a:graphicData uri="http://schemas.openxmlformats.org/drawingml/2006/picture">
                <pic:pic>
                  <pic:nvPicPr>
                    <pic:cNvPr descr="assets/sar-orb-examples/S1-ORB-local-indicident-angle.png" id="314" name="Picture"/>
                    <pic:cNvPicPr>
                      <a:picLocks noChangeArrowheads="1" noChangeAspect="1"/>
                    </pic:cNvPicPr>
                  </pic:nvPicPr>
                  <pic:blipFill>
                    <a:blip r:embed="rId31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5"/>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9" w:name="fig:sar-orb-example-fig2a"/>
    <w:p>
      <w:pPr>
        <w:pStyle w:val="CaptionedFigure"/>
      </w:pPr>
      <w:r>
        <w:drawing>
          <wp:inline>
            <wp:extent cx="3810000" cy="2540000"/>
            <wp:effectExtent b="0" l="0" r="0" t="0"/>
            <wp:docPr descr="Figure 5: ORB intensity (Sigma-Nought); Processing: G. Hajduch (CLS)" title="" id="317" name="Picture"/>
            <a:graphic>
              <a:graphicData uri="http://schemas.openxmlformats.org/drawingml/2006/picture">
                <pic:pic>
                  <pic:nvPicPr>
                    <pic:cNvPr descr="assets/sar-orb-examples/S1-ORB-sigma-nought.png" id="318" name="Picture"/>
                    <pic:cNvPicPr>
                      <a:picLocks noChangeArrowheads="1" noChangeAspect="1"/>
                    </pic:cNvPicPr>
                  </pic:nvPicPr>
                  <pic:blipFill>
                    <a:blip r:embed="rId31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9"/>
    <w:bookmarkStart w:id="323"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1" name="Picture"/>
            <a:graphic>
              <a:graphicData uri="http://schemas.openxmlformats.org/drawingml/2006/picture">
                <pic:pic>
                  <pic:nvPicPr>
                    <pic:cNvPr descr="assets/sar-orb-examples/S1-ORB-intesity-compensated.png" id="322" name="Picture"/>
                    <pic:cNvPicPr>
                      <a:picLocks noChangeArrowheads="1" noChangeAspect="1"/>
                    </pic:cNvPicPr>
                  </pic:nvPicPr>
                  <pic:blipFill>
                    <a:blip r:embed="rId3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3"/>
    <w:bookmarkEnd w:id="324"/>
    <w:bookmarkEnd w:id="325"/>
    <w:bookmarkEnd w:id="32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2">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4" Target="media/rId304.png" /><Relationship Type="http://schemas.openxmlformats.org/officeDocument/2006/relationships/image" Id="rId300" Target="media/rId300.png" /><Relationship Type="http://schemas.openxmlformats.org/officeDocument/2006/relationships/image" Id="rId308" Target="media/rId308.png" /><Relationship Type="http://schemas.openxmlformats.org/officeDocument/2006/relationships/image" Id="rId320" Target="media/rId320.png" /><Relationship Type="http://schemas.openxmlformats.org/officeDocument/2006/relationships/image" Id="rId312" Target="media/rId312.png" /><Relationship Type="http://schemas.openxmlformats.org/officeDocument/2006/relationships/image" Id="rId316" Target="media/rId316.png" /><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54"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1" Target="https://doi.org/10.1029/2011JE003986" TargetMode="External" /><Relationship Type="http://schemas.openxmlformats.org/officeDocument/2006/relationships/hyperlink" Id="rId271" Target="https://doi.org/10.1029/97JC01911" TargetMode="External" /><Relationship Type="http://schemas.openxmlformats.org/officeDocument/2006/relationships/hyperlink" Id="rId267" Target="https://doi.org/10.1080/07038992.2000.10874781" TargetMode="External" /><Relationship Type="http://schemas.openxmlformats.org/officeDocument/2006/relationships/hyperlink" Id="rId273" Target="https://doi.org/10.1109/LGRS.2017.2753580" TargetMode="External" /><Relationship Type="http://schemas.openxmlformats.org/officeDocument/2006/relationships/hyperlink" Id="rId259" Target="https://doi.org/10.1109/TGRS.2008.2002881" TargetMode="External" /><Relationship Type="http://schemas.openxmlformats.org/officeDocument/2006/relationships/hyperlink" Id="rId275" Target="https://doi.org/10.1109/TGRS.2010.2051333" TargetMode="External" /><Relationship Type="http://schemas.openxmlformats.org/officeDocument/2006/relationships/hyperlink" Id="rId269" Target="https://doi.org/10.1109/TGRS.2010.2099124" TargetMode="External" /><Relationship Type="http://schemas.openxmlformats.org/officeDocument/2006/relationships/hyperlink" Id="rId265" Target="https://doi.org/10.1109/TGRS.2011.2120616" TargetMode="External" /><Relationship Type="http://schemas.openxmlformats.org/officeDocument/2006/relationships/hyperlink" Id="rId263"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2026-03-26T16:58:50Z</dcterms:created>
  <dcterms:modified xsi:type="dcterms:W3CDTF">2026-03-26T16:58:50Z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