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34.png" ContentType="image/png"/>
  <Override PartName="/word/media/rId338.png" ContentType="image/png"/>
  <Override PartName="/word/media/rId342.png" ContentType="image/png"/>
  <Override PartName="/word/media/rId318.jpg" ContentType="image/jpeg"/>
  <Override PartName="/word/media/rId322.jpg" ContentType="image/jpeg"/>
  <Override PartName="/word/media/rId326.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48"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Geocoded Single-Look Complex (GSLC)</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gslc"/>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src-orbit-gslc</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Compact"/>
        <w:numPr>
          <w:ilvl w:val="0"/>
          <w:numId w:val="1016"/>
        </w:numPr>
      </w:pPr>
      <w:r>
        <w:t xml:space="preserve">Relative orbit number, if defined</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Perpendicular baseline to virtual orbit or reference orbit used for phase correction</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6"/>
    <w:bookmarkStart w:id="127" w:name="assessment-21"/>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1"/>
        </w:numPr>
      </w:pPr>
      <w:r>
        <w:t xml:space="preserve">Number of lines</w:t>
      </w:r>
    </w:p>
    <w:p>
      <w:pPr>
        <w:pStyle w:val="Compact"/>
        <w:numPr>
          <w:ilvl w:val="0"/>
          <w:numId w:val="1041"/>
        </w:numPr>
      </w:pPr>
      <w:r>
        <w:t xml:space="preserve">Number of pixels per line</w:t>
      </w:r>
    </w:p>
    <w:p>
      <w:pPr>
        <w:pStyle w:val="Compact"/>
        <w:numPr>
          <w:ilvl w:val="0"/>
          <w:numId w:val="1041"/>
        </w:numPr>
      </w:pPr>
      <w:r>
        <w:t xml:space="preserve">File header size (if applicable)</w:t>
      </w:r>
    </w:p>
    <w:p>
      <w:pPr>
        <w:pStyle w:val="Compact"/>
        <w:numPr>
          <w:ilvl w:val="0"/>
          <w:numId w:val="1041"/>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gslc">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the corresponding per-pixel metadata (see</w:t>
      </w:r>
      <w:r>
        <w:t xml:space="preserve"> </w:t>
      </w:r>
      <w:hyperlink w:anchor="sec:pxl-slarassi-gslc">
        <w:r>
          <w:rPr>
            <w:rStyle w:val="Hyperlink"/>
          </w:rPr>
          <w:t xml:space="preserve">Per-Pixel Metadata: Slant Range Sensor to Surface Image</w:t>
        </w:r>
      </w:hyperlink>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w:t>
      </w:r>
      <w:r>
        <w:t xml:space="preserve"> </w:t>
      </w:r>
      <w:r>
        <w:t xml:space="preserve">When a reference orbit is used instead of a virtual orbit (see</w:t>
      </w:r>
      <w:r>
        <w:t xml:space="preserve"> </w:t>
      </w:r>
      <w:hyperlink w:anchor="sec:annex-sar-topographic-phase-removal">
        <w:r>
          <w:rPr>
            <w:rStyle w:val="Hyperlink"/>
          </w:rPr>
          <w:t xml:space="preserve">Topographic phase removal</w:t>
        </w:r>
      </w:hyperlink>
      <w: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rd-catpha"/>
    <w:p>
      <w:pPr>
        <w:pStyle w:val="berschrift4"/>
      </w:pPr>
      <w:r>
        <w:rPr>
          <w:rStyle w:val="VerbatimChar"/>
        </w:rPr>
        <w:t xml:space="preserve">3.13.</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61" w:name="threshold-requirements-30"/>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48"/>
        </w:numPr>
      </w:pPr>
      <w:r>
        <w:t xml:space="preserve">Methodology name</w:t>
      </w:r>
    </w:p>
    <w:p>
      <w:pPr>
        <w:pStyle w:val="Compact"/>
        <w:numPr>
          <w:ilvl w:val="0"/>
          <w:numId w:val="1048"/>
        </w:numPr>
      </w:pPr>
      <w:r>
        <w:t xml:space="preserve">Reference to methodology (text or DOI)</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rd-ionpha"/>
    <w:p>
      <w:pPr>
        <w:pStyle w:val="berschrift4"/>
      </w:pPr>
      <w:r>
        <w:rPr>
          <w:rStyle w:val="VerbatimChar"/>
        </w:rPr>
        <w:t xml:space="preserve">3.14.</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65" w:name="threshold-requirements-31"/>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50"/>
        </w:numPr>
      </w:pPr>
      <w:r>
        <w:t xml:space="preserve">Methodology name</w:t>
      </w:r>
    </w:p>
    <w:p>
      <w:pPr>
        <w:pStyle w:val="Compact"/>
        <w:numPr>
          <w:ilvl w:val="0"/>
          <w:numId w:val="1050"/>
        </w:numPr>
      </w:pPr>
      <w:r>
        <w:t xml:space="preserve">Reference to methodology (text or DOI)</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bookmarkEnd w:id="167"/>
    <w:bookmarkEnd w:id="168"/>
    <w:bookmarkEnd w:id="169"/>
    <w:bookmarkStart w:id="22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7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70" w:name="threshold-requirements-3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70"/>
    <w:bookmarkStart w:id="171" w:name="goal-requirements-32"/>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71"/>
    <w:bookmarkStart w:id="172"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4" w:name="threshold-requirements-33"/>
    <w:p>
      <w:pPr>
        <w:pStyle w:val="berschrift5"/>
      </w:pPr>
      <w:r>
        <w:t xml:space="preserve">Threshold requirements:</w:t>
      </w:r>
    </w:p>
    <w:p>
      <w:pPr>
        <w:pStyle w:val="FirstParagraph"/>
      </w:pPr>
      <w:r>
        <w:t xml:space="preserve">Mask image indicating:</w:t>
      </w:r>
    </w:p>
    <w:p>
      <w:pPr>
        <w:pStyle w:val="Compact"/>
        <w:numPr>
          <w:ilvl w:val="0"/>
          <w:numId w:val="1053"/>
        </w:numPr>
      </w:pPr>
      <w:r>
        <w:t xml:space="preserve">Valid data</w:t>
      </w:r>
    </w:p>
    <w:p>
      <w:pPr>
        <w:pStyle w:val="Compact"/>
        <w:numPr>
          <w:ilvl w:val="0"/>
          <w:numId w:val="1053"/>
        </w:numPr>
      </w:pPr>
      <w:r>
        <w:t xml:space="preserve">Invalid data</w:t>
      </w:r>
    </w:p>
    <w:p>
      <w:pPr>
        <w:pStyle w:val="Compact"/>
        <w:numPr>
          <w:ilvl w:val="0"/>
          <w:numId w:val="1053"/>
        </w:numPr>
      </w:pPr>
      <w:r>
        <w:t xml:space="preserve">No data</w:t>
      </w:r>
    </w:p>
    <w:p>
      <w:pPr>
        <w:pStyle w:val="FirstParagraph"/>
      </w:pPr>
      <w:r>
        <w:t xml:space="preserve">File format specifications/contents provided in metadata:</w:t>
      </w:r>
    </w:p>
    <w:p>
      <w:pPr>
        <w:pStyle w:val="Compact"/>
        <w:numPr>
          <w:ilvl w:val="0"/>
          <w:numId w:val="1054"/>
        </w:numPr>
      </w:pPr>
      <w:r>
        <w:t xml:space="preserve">Sample Type (Mask)</w:t>
      </w:r>
    </w:p>
    <w:p>
      <w:pPr>
        <w:pStyle w:val="Compact"/>
        <w:numPr>
          <w:ilvl w:val="0"/>
          <w:numId w:val="1054"/>
        </w:numPr>
      </w:pPr>
      <w:r>
        <w:t xml:space="preserve">Data Format (GeoTIFF, HDF5, NetCDF, …)</w:t>
      </w:r>
    </w:p>
    <w:p>
      <w:pPr>
        <w:pStyle w:val="Compact"/>
        <w:numPr>
          <w:ilvl w:val="0"/>
          <w:numId w:val="1054"/>
        </w:numPr>
      </w:pPr>
      <w:r>
        <w:t xml:space="preserve">Data Type (Int, …)</w:t>
      </w:r>
    </w:p>
    <w:p>
      <w:pPr>
        <w:pStyle w:val="Compact"/>
        <w:numPr>
          <w:ilvl w:val="0"/>
          <w:numId w:val="1054"/>
        </w:numPr>
      </w:pPr>
      <w:r>
        <w:t xml:space="preserve">Bits per Sample</w:t>
      </w:r>
    </w:p>
    <w:p>
      <w:pPr>
        <w:pStyle w:val="Compact"/>
        <w:numPr>
          <w:ilvl w:val="0"/>
          <w:numId w:val="1054"/>
        </w:numPr>
      </w:pPr>
      <w:r>
        <w:t xml:space="preserve">Byte Order</w:t>
      </w:r>
    </w:p>
    <w:p>
      <w:pPr>
        <w:pStyle w:val="Compact"/>
        <w:numPr>
          <w:ilvl w:val="0"/>
          <w:numId w:val="1054"/>
        </w:numPr>
      </w:pPr>
      <w:r>
        <w:t xml:space="preserve">Bit Value Representation</w:t>
      </w:r>
    </w:p>
    <w:p>
      <w:pPr>
        <w:pStyle w:val="FirstParagraph"/>
      </w:pPr>
      <w:r>
        <w:t xml:space="preserve">Notes:</w:t>
      </w:r>
    </w:p>
    <w:p>
      <w:pPr>
        <w:pStyle w:val="Compact"/>
        <w:numPr>
          <w:ilvl w:val="0"/>
          <w:numId w:val="1055"/>
        </w:numPr>
      </w:pPr>
      <w:r>
        <w:t xml:space="preserve">All bit value representations included in the Data Mask Image should be indicated in the metadata.</w:t>
      </w:r>
    </w:p>
    <w:p>
      <w:pPr>
        <w:pStyle w:val="Compact"/>
        <w:numPr>
          <w:ilvl w:val="0"/>
          <w:numId w:val="1055"/>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6"/>
        </w:numPr>
      </w:pPr>
      <w:r>
        <w:t xml:space="preserve">Layover (masked as invalid data in threshold)</w:t>
      </w:r>
    </w:p>
    <w:p>
      <w:pPr>
        <w:pStyle w:val="Compact"/>
        <w:numPr>
          <w:ilvl w:val="0"/>
          <w:numId w:val="1056"/>
        </w:numPr>
      </w:pPr>
      <w:r>
        <w:t xml:space="preserve">Radar shadow (masked as invalid data in threshold)</w:t>
      </w:r>
    </w:p>
    <w:p>
      <w:pPr>
        <w:pStyle w:val="Compact"/>
        <w:numPr>
          <w:ilvl w:val="0"/>
          <w:numId w:val="1056"/>
        </w:numPr>
      </w:pPr>
      <w:r>
        <w:t xml:space="preserve">Ocean water</w:t>
      </w:r>
    </w:p>
    <w:p>
      <w:pPr>
        <w:pStyle w:val="Compact"/>
        <w:numPr>
          <w:ilvl w:val="0"/>
          <w:numId w:val="1056"/>
        </w:numPr>
      </w:pPr>
      <w:r>
        <w:t xml:space="preserve">Land (recommended for ORB)</w:t>
      </w:r>
    </w:p>
    <w:p>
      <w:pPr>
        <w:pStyle w:val="Compact"/>
        <w:numPr>
          <w:ilvl w:val="0"/>
          <w:numId w:val="1056"/>
        </w:numPr>
      </w:pPr>
      <w:r>
        <w:t xml:space="preserve">RTC applied (e.g., for maritime scenes with land samples for which RTC has been applied)</w:t>
      </w:r>
    </w:p>
    <w:p>
      <w:pPr>
        <w:pStyle w:val="Compact"/>
        <w:numPr>
          <w:ilvl w:val="0"/>
          <w:numId w:val="1056"/>
        </w:numPr>
      </w:pPr>
      <w:r>
        <w:t xml:space="preserve">DEM gap filling (i.e., interpolated DEM over gaps)</w:t>
      </w:r>
    </w:p>
    <w:bookmarkEnd w:id="175"/>
    <w:bookmarkStart w:id="176"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6"/>
    <w:bookmarkEnd w:id="177"/>
    <w:bookmarkStart w:id="18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8"/>
        </w:numPr>
      </w:pPr>
      <w:r>
        <w:t xml:space="preserve">Sample Type (Scattering Area)</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FirstParagraph"/>
      </w:pPr>
      <w:r>
        <w:t xml:space="preserve">Notes:</w:t>
      </w:r>
    </w:p>
    <w:p>
      <w:pPr>
        <w:pStyle w:val="Compact"/>
        <w:numPr>
          <w:ilvl w:val="0"/>
          <w:numId w:val="1059"/>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9"/>
        </w:numPr>
      </w:pPr>
      <w:r>
        <w:t xml:space="preserve">Required for products such as NRB and POL if they are to be used as an input to production of composite backscatter (CB) when weighted averages based on the areas are used to generate composite backscatter.</w:t>
      </w:r>
    </w:p>
    <w:bookmarkEnd w:id="179"/>
    <w:bookmarkStart w:id="180"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0"/>
    <w:bookmarkEnd w:id="181"/>
    <w:bookmarkStart w:id="185"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1"/>
        </w:numPr>
      </w:pPr>
      <w:r>
        <w:t xml:space="preserve">Sample Type (Angle)</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83"/>
    <w:bookmarkStart w:id="184"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6" w:name="threshold-requirements-36"/>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4"/>
        </w:numPr>
      </w:pPr>
      <w:r>
        <w:t xml:space="preserve">Sample Type (Angle)</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p>
      <w:pPr>
        <w:pStyle w:val="Compact"/>
        <w:numPr>
          <w:ilvl w:val="0"/>
          <w:numId w:val="1064"/>
        </w:numPr>
      </w:pPr>
      <w:r>
        <w:t xml:space="preserve">Reference Ellipsoid Name</w:t>
      </w:r>
    </w:p>
    <w:p>
      <w:pPr>
        <w:pStyle w:val="FirstParagraph"/>
      </w:pPr>
      <w:r>
        <w:t xml:space="preserve">Required when a Radar Unit Look Vector Grid Image (see</w:t>
      </w:r>
      <w:r>
        <w:t xml:space="preserve"> </w:t>
      </w:r>
      <w:hyperlink w:anchor="sec:pxl-radulov-gslc">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65"/>
        </w:numPr>
      </w:pPr>
      <w:r>
        <w:t xml:space="preserve">For CEOS-ARD products created from repeat-pass acquisitions, with narrow orbital tube radius, a single static per pixel metadata file can be provided as a URL address of that unique metadata file.</w:t>
      </w:r>
    </w:p>
    <w:bookmarkEnd w:id="186"/>
    <w:bookmarkStart w:id="187" w:name="goal-requirements-36"/>
    <w:p>
      <w:pPr>
        <w:pStyle w:val="berschrift5"/>
      </w:pPr>
      <w:r>
        <w:t xml:space="preserve">Goal requirements:</w:t>
      </w:r>
    </w:p>
    <w:p>
      <w:pPr>
        <w:pStyle w:val="FirstParagraph"/>
      </w:pPr>
      <w:r>
        <w:t xml:space="preserve">As threshold.</w:t>
      </w:r>
      <w:r>
        <w:t xml:space="preserve"> </w:t>
      </w:r>
    </w:p>
    <w:bookmarkEnd w:id="187"/>
    <w:bookmarkStart w:id="188" w:name="assessment-36"/>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7"/>
        </w:numPr>
      </w:pPr>
      <w:r>
        <w:t xml:space="preserve">Sample Type (Gamma-Nought, Sigma-Nought, Beta-Nought)</w:t>
      </w:r>
    </w:p>
    <w:p>
      <w:pPr>
        <w:pStyle w:val="Compact"/>
        <w:numPr>
          <w:ilvl w:val="0"/>
          <w:numId w:val="1067"/>
        </w:numPr>
      </w:pPr>
      <w:r>
        <w:t xml:space="preserve">Correction model type (Ellipsoid, Topography)</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1"/>
    <w:bookmarkStart w:id="192" w:name="assessment-37"/>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9"/>
        </w:numPr>
      </w:pPr>
      <w:r>
        <w:t xml:space="preserve">Sample Type (Ratio)</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8" w:name="threshold-requirements-39"/>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2"/>
        </w:numPr>
      </w:pPr>
      <w:r>
        <w:t xml:space="preserve">Sample type (Day, Time, ID)</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198"/>
    <w:bookmarkStart w:id="199" w:name="goal-requirements-39"/>
    <w:p>
      <w:pPr>
        <w:pStyle w:val="berschrift5"/>
      </w:pPr>
      <w:r>
        <w:t xml:space="preserve">Goal requirements:</w:t>
      </w:r>
    </w:p>
    <w:p>
      <w:pPr>
        <w:pStyle w:val="FirstParagraph"/>
      </w:pPr>
      <w:r>
        <w:t xml:space="preserve">As threshold.</w:t>
      </w:r>
      <w:r>
        <w:t xml:space="preserve"> </w:t>
      </w:r>
    </w:p>
    <w:bookmarkEnd w:id="199"/>
    <w:bookmarkStart w:id="200" w:name="assessment-39"/>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0"/>
    <w:bookmarkEnd w:id="201"/>
    <w:bookmarkStart w:id="205"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4"/>
        </w:numPr>
      </w:pPr>
      <w:r>
        <w:t xml:space="preserve">Sample Type (Height)</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p>
      <w:pPr>
        <w:pStyle w:val="FirstParagraph"/>
      </w:pPr>
      <w:r>
        <w:t xml:space="preserve">Note:</w:t>
      </w:r>
    </w:p>
    <w:p>
      <w:pPr>
        <w:pStyle w:val="Compact"/>
        <w:numPr>
          <w:ilvl w:val="0"/>
          <w:numId w:val="1075"/>
        </w:numPr>
      </w:pPr>
      <w:r>
        <w:t xml:space="preserve">For CEOS-ARD products created from repeat-pass acquisitions, with narrow orbital tube radius, a single static per pixel metadata file can be provided as a URL address of that unique metadata file.</w:t>
      </w:r>
    </w:p>
    <w:bookmarkEnd w:id="203"/>
    <w:bookmarkStart w:id="204" w:name="assessment-40"/>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4"/>
    <w:bookmarkEnd w:id="205"/>
    <w:bookmarkStart w:id="209" w:name="sec:pxl-radulov-gslc"/>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pxl-radulov-gslc</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77"/>
        </w:numPr>
      </w:pPr>
      <w:r>
        <w:t xml:space="preserve">Sample Type (3D unit vector)</w:t>
      </w:r>
    </w:p>
    <w:p>
      <w:pPr>
        <w:pStyle w:val="Compact"/>
        <w:numPr>
          <w:ilvl w:val="0"/>
          <w:numId w:val="1077"/>
        </w:numPr>
      </w:pPr>
      <w:r>
        <w:t xml:space="preserve">Data Format (GeoTIFF, HDF5, NetCDF, …)</w:t>
      </w:r>
    </w:p>
    <w:p>
      <w:pPr>
        <w:pStyle w:val="Compact"/>
        <w:numPr>
          <w:ilvl w:val="0"/>
          <w:numId w:val="1077"/>
        </w:numPr>
      </w:pPr>
      <w:r>
        <w:t xml:space="preserve">Data Type (Double Float, …)</w:t>
      </w:r>
    </w:p>
    <w:p>
      <w:pPr>
        <w:pStyle w:val="Compact"/>
        <w:numPr>
          <w:ilvl w:val="0"/>
          <w:numId w:val="1077"/>
        </w:numPr>
      </w:pPr>
      <w:r>
        <w:t xml:space="preserve">Bits per Sample</w:t>
      </w:r>
    </w:p>
    <w:p>
      <w:pPr>
        <w:pStyle w:val="Compact"/>
        <w:numPr>
          <w:ilvl w:val="0"/>
          <w:numId w:val="1077"/>
        </w:numPr>
      </w:pPr>
      <w:r>
        <w:t xml:space="preserve">Byte Order</w:t>
      </w:r>
    </w:p>
    <w:p>
      <w:pPr>
        <w:pStyle w:val="FirstParagraph"/>
      </w:pPr>
      <w:r>
        <w:t xml:space="preserve">Note:</w:t>
      </w:r>
    </w:p>
    <w:p>
      <w:pPr>
        <w:pStyle w:val="Compact"/>
        <w:numPr>
          <w:ilvl w:val="0"/>
          <w:numId w:val="1078"/>
        </w:numPr>
      </w:pPr>
      <w:r>
        <w:t xml:space="preserve">For CEOS-ARD products created from repeat-pass acquisitions, with narrow orbital tube radius, a single static per pixel metadata file can be provided as a URL address of that unique metadata file.</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slarassi-gslc"/>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pxl-slarassi-gslc</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0"/>
        </w:numPr>
      </w:pPr>
      <w:r>
        <w:t xml:space="preserve">Sample Type (Length)</w:t>
      </w:r>
    </w:p>
    <w:p>
      <w:pPr>
        <w:pStyle w:val="Compact"/>
        <w:numPr>
          <w:ilvl w:val="0"/>
          <w:numId w:val="1080"/>
        </w:numPr>
      </w:pPr>
      <w:r>
        <w:t xml:space="preserve">Data Format (GeoTIFF, HDF5, NetCDF, …)</w:t>
      </w:r>
    </w:p>
    <w:p>
      <w:pPr>
        <w:pStyle w:val="Compact"/>
        <w:numPr>
          <w:ilvl w:val="0"/>
          <w:numId w:val="1080"/>
        </w:numPr>
      </w:pPr>
      <w:r>
        <w:t xml:space="preserve">Data Type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nphun"/>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83"/>
        </w:numPr>
      </w:pPr>
      <w:r>
        <w:t xml:space="preserve">Sample Type (Angle)</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bookmarkEnd w:id="215"/>
    <w:bookmarkStart w:id="216"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6"/>
    <w:bookmarkEnd w:id="217"/>
    <w:bookmarkStart w:id="221" w:name="sec:pxl-atphaci"/>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5"/>
        </w:numPr>
      </w:pPr>
      <w:r>
        <w:t xml:space="preserve">Sample Type (Angle)</w:t>
      </w:r>
    </w:p>
    <w:p>
      <w:pPr>
        <w:pStyle w:val="Compact"/>
        <w:numPr>
          <w:ilvl w:val="0"/>
          <w:numId w:val="1085"/>
        </w:numPr>
      </w:pPr>
      <w:r>
        <w:t xml:space="preserve">Data Format (GeoTIFF, HDF5, NetCDF, …)</w:t>
      </w:r>
    </w:p>
    <w:p>
      <w:pPr>
        <w:pStyle w:val="Compact"/>
        <w:numPr>
          <w:ilvl w:val="0"/>
          <w:numId w:val="1085"/>
        </w:numPr>
      </w:pPr>
      <w:r>
        <w:t xml:space="preserve">Data Type (Float, …)</w:t>
      </w:r>
    </w:p>
    <w:p>
      <w:pPr>
        <w:pStyle w:val="Compact"/>
        <w:numPr>
          <w:ilvl w:val="0"/>
          <w:numId w:val="1085"/>
        </w:numPr>
      </w:pPr>
      <w:r>
        <w:t xml:space="preserve">Bits per Sample</w:t>
      </w:r>
    </w:p>
    <w:p>
      <w:pPr>
        <w:pStyle w:val="Compact"/>
        <w:numPr>
          <w:ilvl w:val="0"/>
          <w:numId w:val="1085"/>
        </w:numPr>
      </w:pPr>
      <w:r>
        <w:t xml:space="preserve">Byte Order</w:t>
      </w:r>
    </w:p>
    <w:bookmarkEnd w:id="219"/>
    <w:bookmarkStart w:id="220"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0"/>
    <w:bookmarkEnd w:id="221"/>
    <w:bookmarkStart w:id="225" w:name="sec:pxl-piopha"/>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87"/>
        </w:numPr>
      </w:pPr>
      <w:r>
        <w:t xml:space="preserve">Sample Type (Angle)</w:t>
      </w:r>
    </w:p>
    <w:p>
      <w:pPr>
        <w:pStyle w:val="Compact"/>
        <w:numPr>
          <w:ilvl w:val="0"/>
          <w:numId w:val="1087"/>
        </w:numPr>
      </w:pPr>
      <w:r>
        <w:t xml:space="preserve">Data Format (GeoTIFF, HDF5, NetCDF, …)</w:t>
      </w:r>
    </w:p>
    <w:p>
      <w:pPr>
        <w:pStyle w:val="Compact"/>
        <w:numPr>
          <w:ilvl w:val="0"/>
          <w:numId w:val="1087"/>
        </w:numPr>
      </w:pPr>
      <w:r>
        <w:t xml:space="preserve">Data Type (Float, …)</w:t>
      </w:r>
    </w:p>
    <w:p>
      <w:pPr>
        <w:pStyle w:val="Compact"/>
        <w:numPr>
          <w:ilvl w:val="0"/>
          <w:numId w:val="1087"/>
        </w:numPr>
      </w:pPr>
      <w:r>
        <w:t xml:space="preserve">Bits per Sample</w:t>
      </w:r>
    </w:p>
    <w:p>
      <w:pPr>
        <w:pStyle w:val="Compact"/>
        <w:numPr>
          <w:ilvl w:val="0"/>
          <w:numId w:val="1087"/>
        </w:numPr>
      </w:pPr>
      <w:r>
        <w:t xml:space="preserve">Byte Order</w:t>
      </w:r>
    </w:p>
    <w:bookmarkEnd w:id="223"/>
    <w:bookmarkStart w:id="224" w:name="assessment-45"/>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24"/>
    <w:bookmarkEnd w:id="225"/>
    <w:bookmarkEnd w:id="226"/>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30" w:name="sec:rcm-backsca-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Backscatter coefficient, in complex number format, is provided for each polarization (e.g., HH, HV, VV, VH).</w:t>
      </w:r>
      <w:r>
        <w:t xml:space="preserve"> </w:t>
      </w:r>
      <w:r>
        <w:t xml:space="preserve">GSLC phase is terrain-flattened using Earth ellipsoid and digital elevation or surface models.</w:t>
      </w:r>
    </w:p>
    <w:p>
      <w:pPr>
        <w:pStyle w:val="Textkrper"/>
      </w:pPr>
      <w:r>
        <w:t xml:space="preserve">File format specifications/contents provided in metadata:</w:t>
      </w:r>
    </w:p>
    <w:p>
      <w:pPr>
        <w:pStyle w:val="Compact"/>
        <w:numPr>
          <w:ilvl w:val="0"/>
          <w:numId w:val="1089"/>
        </w:numPr>
      </w:pPr>
      <w:r>
        <w:t xml:space="preserve">Measurement Type (Gamma-Nought, Sigma-Nought, or Beta-Nought)</w:t>
      </w:r>
    </w:p>
    <w:p>
      <w:pPr>
        <w:pStyle w:val="Compact"/>
        <w:numPr>
          <w:ilvl w:val="0"/>
          <w:numId w:val="1089"/>
        </w:numPr>
      </w:pPr>
      <w:r>
        <w:t xml:space="preserve">Backscatter Expression Convention (linear amplitude, or linear power [see note])</w:t>
      </w:r>
    </w:p>
    <w:p>
      <w:pPr>
        <w:pStyle w:val="Compact"/>
        <w:numPr>
          <w:ilvl w:val="0"/>
          <w:numId w:val="1089"/>
        </w:numPr>
      </w:pPr>
      <w:r>
        <w:t xml:space="preserve">Polarization (HH, HV, VV, VH)</w:t>
      </w:r>
    </w:p>
    <w:p>
      <w:pPr>
        <w:pStyle w:val="Compact"/>
        <w:numPr>
          <w:ilvl w:val="0"/>
          <w:numId w:val="1089"/>
        </w:numPr>
      </w:pPr>
      <w:r>
        <w:t xml:space="preserve">Data Format (GeoTIFF, HDF5, NetCDF, …)</w:t>
      </w:r>
    </w:p>
    <w:p>
      <w:pPr>
        <w:pStyle w:val="Compact"/>
        <w:numPr>
          <w:ilvl w:val="0"/>
          <w:numId w:val="1089"/>
        </w:numPr>
      </w:pPr>
      <w:r>
        <w:t xml:space="preserve">Data Type (Int,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Transformation to the logarithm decibel scale is not required or desired as this step can be completed by the user if necessary.</w:t>
      </w:r>
    </w:p>
    <w:bookmarkEnd w:id="227"/>
    <w:bookmarkStart w:id="228" w:name="goal-requirements-46"/>
    <w:p>
      <w:pPr>
        <w:pStyle w:val="berschrift5"/>
      </w:pPr>
      <w:r>
        <w:t xml:space="preserve">Goal requirements:</w:t>
      </w:r>
    </w:p>
    <w:p>
      <w:pPr>
        <w:pStyle w:val="FirstParagraph"/>
      </w:pPr>
      <w:r>
        <w:rPr>
          <w:b/>
          <w:bCs/>
        </w:rPr>
        <w:t xml:space="preserve">Radiometric and Phase Terrain-flattened</w:t>
      </w:r>
      <w:r>
        <w:t xml:space="preserve"> </w:t>
      </w:r>
      <w:r>
        <w:t xml:space="preserve">Gamma-Nought backscatter coefficient (</w:t>
      </w:r>
      <m:oMath>
        <m:sSubSup>
          <m:e>
            <m:r>
              <m:t>γ</m:t>
            </m:r>
          </m:e>
          <m:sub>
            <m:r>
              <m:t>T</m:t>
            </m:r>
          </m:sub>
          <m:sup>
            <m:r>
              <m:t>0</m:t>
            </m:r>
          </m:sup>
        </m:sSubSup>
      </m:oMath>
      <w:r>
        <w:t xml:space="preserve">), in complex number format, is provided for each polarization (e.g., HH, HV, VV, VH).</w:t>
      </w:r>
    </w:p>
    <w:bookmarkEnd w:id="228"/>
    <w:bookmarkStart w:id="229" w:name="assessment-46"/>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9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7"/>
    <w:bookmarkEnd w:id="238"/>
    <w:bookmarkStart w:id="242"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Require resolution of DEM better than the output product resolution when applying terrain corrections.</w:t>
      </w:r>
    </w:p>
    <w:bookmarkEnd w:id="240"/>
    <w:bookmarkStart w:id="241" w:name="assessment-49"/>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97"/>
        </w:numPr>
      </w:pPr>
      <w:r>
        <w:t xml:space="preserve">A metadata citable peer-reviewed algorithm</w:t>
      </w:r>
    </w:p>
    <w:p>
      <w:pPr>
        <w:pStyle w:val="Compact"/>
        <w:numPr>
          <w:ilvl w:val="0"/>
          <w:numId w:val="1097"/>
        </w:numPr>
      </w:pPr>
      <w:r>
        <w:t xml:space="preserve">Technical documentation regarding the implementation of that algorithm expressed as URLs or DOIs</w:t>
      </w:r>
    </w:p>
    <w:p>
      <w:pPr>
        <w:pStyle w:val="Compact"/>
        <w:numPr>
          <w:ilvl w:val="0"/>
          <w:numId w:val="1097"/>
        </w:numPr>
      </w:pPr>
      <w:r>
        <w:t xml:space="preserve">The sources of auxiliary data used to make corrections</w:t>
      </w:r>
    </w:p>
    <w:p>
      <w:pPr>
        <w:pStyle w:val="Compact"/>
        <w:numPr>
          <w:ilvl w:val="0"/>
          <w:numId w:val="1097"/>
        </w:numPr>
      </w:pPr>
      <w:r>
        <w:t xml:space="preserve">Resampling method used for geometric processing of the source data</w:t>
      </w:r>
    </w:p>
    <w:p>
      <w:pPr>
        <w:pStyle w:val="FirstParagraph"/>
      </w:pPr>
      <w:r>
        <w:t xml:space="preserve">Note:</w:t>
      </w:r>
    </w:p>
    <w:p>
      <w:pPr>
        <w:pStyle w:val="Compact"/>
        <w:numPr>
          <w:ilvl w:val="0"/>
          <w:numId w:val="1098"/>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52" w:name="threshold-requirements-52"/>
    <w:p>
      <w:pPr>
        <w:pStyle w:val="berschrift5"/>
      </w:pPr>
      <w:r>
        <w:t xml:space="preserve">Threshold requirements:</w:t>
      </w:r>
    </w:p>
    <w:p>
      <w:pPr>
        <w:pStyle w:val="Compact"/>
        <w:numPr>
          <w:ilvl w:val="0"/>
          <w:numId w:val="1100"/>
        </w:numPr>
      </w:pPr>
      <w:r>
        <w:t xml:space="preserve">During ortho-rectification, the data provider shall use the same DEM that was used for the radiometric terrain flattening to ensure consistency of the data stack.</w:t>
      </w:r>
    </w:p>
    <w:p>
      <w:pPr>
        <w:pStyle w:val="Compact"/>
        <w:numPr>
          <w:ilvl w:val="0"/>
          <w:numId w:val="110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00"/>
        </w:numPr>
      </w:pPr>
      <w:r>
        <w:t xml:space="preserve">Provide reference to Earth Gravitational Model (EGM) if used for geometric correction. For mosaic or composite products, specify the EGM used for each input data source, if different.</w:t>
      </w:r>
    </w:p>
    <w:bookmarkEnd w:id="252"/>
    <w:bookmarkStart w:id="253" w:name="goal-requirements-52"/>
    <w:p>
      <w:pPr>
        <w:pStyle w:val="berschrift5"/>
      </w:pPr>
      <w:r>
        <w:t xml:space="preserve">Goal requirements:</w:t>
      </w:r>
    </w:p>
    <w:p>
      <w:pPr>
        <w:pStyle w:val="Compact"/>
        <w:numPr>
          <w:ilvl w:val="0"/>
          <w:numId w:val="1101"/>
        </w:numPr>
      </w:pPr>
      <w:r>
        <w:t xml:space="preserve">A DEM with comparable or better resolution to the resolution of the output CEOS-ARD product shall be used if available. Else, the upsampled DEM is identified.</w:t>
      </w:r>
    </w:p>
    <w:p>
      <w:pPr>
        <w:pStyle w:val="Compact"/>
        <w:numPr>
          <w:ilvl w:val="0"/>
          <w:numId w:val="1101"/>
        </w:numPr>
      </w:pPr>
      <w:r>
        <w:t xml:space="preserve">Resampling method used for preparation of the DEM.</w:t>
      </w:r>
    </w:p>
    <w:p>
      <w:pPr>
        <w:pStyle w:val="Compact"/>
        <w:numPr>
          <w:ilvl w:val="0"/>
          <w:numId w:val="1101"/>
        </w:numPr>
      </w:pPr>
      <w:r>
        <w:t xml:space="preserve">Method used for resampling the EGM.</w:t>
      </w:r>
    </w:p>
    <w:bookmarkEnd w:id="253"/>
    <w:bookmarkStart w:id="254" w:name="assessment-52"/>
    <w:p>
      <w:pPr>
        <w:pStyle w:val="berschrift5"/>
      </w:pPr>
      <w:r>
        <w:t xml:space="preserve">Assessment:</w:t>
      </w:r>
    </w:p>
    <w:p>
      <w:pPr>
        <w:pStyle w:val="Compact"/>
        <w:numPr>
          <w:ilvl w:val="0"/>
          <w:numId w:val="1102"/>
        </w:numPr>
      </w:pPr>
      <w:r>
        <w:t xml:space="preserve">Threshold Self-Assessment:</w:t>
      </w:r>
    </w:p>
    <w:p>
      <w:pPr>
        <w:pStyle w:val="Compact"/>
        <w:numPr>
          <w:ilvl w:val="0"/>
          <w:numId w:val="1102"/>
        </w:numPr>
      </w:pPr>
      <w:r>
        <w:t xml:space="preserve">Goal Self-Assessment:</w:t>
      </w:r>
    </w:p>
    <w:p>
      <w:pPr>
        <w:pStyle w:val="Compact"/>
        <w:numPr>
          <w:ilvl w:val="0"/>
          <w:numId w:val="1102"/>
        </w:numPr>
      </w:pPr>
      <w:r>
        <w:t xml:space="preserve">Self-Assessment Explanation/ Justification:</w:t>
      </w:r>
    </w:p>
    <w:p>
      <w:pPr>
        <w:pStyle w:val="Compact"/>
        <w:numPr>
          <w:ilvl w:val="0"/>
          <w:numId w:val="1102"/>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0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0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03"/>
        </w:numPr>
      </w:pPr>
      <w:r>
        <w:t xml:space="preserve">For new SAR missions, as long as calibration/validation reports are not available, values can be set to NaN and provide a DOI or URL link to pre-launch mission specification document.</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104"/>
        </w:numPr>
      </w:pPr>
      <w:r>
        <w:t xml:space="preserve">Threshold Self-Assessment:</w:t>
      </w:r>
    </w:p>
    <w:p>
      <w:pPr>
        <w:pStyle w:val="Compact"/>
        <w:numPr>
          <w:ilvl w:val="0"/>
          <w:numId w:val="1104"/>
        </w:numPr>
      </w:pPr>
      <w:r>
        <w:t xml:space="preserve">Goal Self-Assessment:</w:t>
      </w:r>
    </w:p>
    <w:p>
      <w:pPr>
        <w:pStyle w:val="Compact"/>
        <w:numPr>
          <w:ilvl w:val="0"/>
          <w:numId w:val="1104"/>
        </w:numPr>
      </w:pPr>
      <w:r>
        <w:t xml:space="preserve">Self-Assessment Explanation/ Justification:</w:t>
      </w:r>
    </w:p>
    <w:p>
      <w:pPr>
        <w:pStyle w:val="Compact"/>
        <w:numPr>
          <w:ilvl w:val="0"/>
          <w:numId w:val="1104"/>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61"/>
    <w:bookmarkStart w:id="262" w:name="assessment-54"/>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06"/>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107"/>
        </w:numPr>
      </w:pPr>
      <w:r>
        <w:t xml:space="preserve">Threshold Self-Assessment:</w:t>
      </w:r>
    </w:p>
    <w:p>
      <w:pPr>
        <w:pStyle w:val="Compact"/>
        <w:numPr>
          <w:ilvl w:val="0"/>
          <w:numId w:val="1107"/>
        </w:numPr>
      </w:pPr>
      <w:r>
        <w:t xml:space="preserve">Goal Self-Assessment:</w:t>
      </w:r>
    </w:p>
    <w:p>
      <w:pPr>
        <w:pStyle w:val="Compact"/>
        <w:numPr>
          <w:ilvl w:val="0"/>
          <w:numId w:val="1107"/>
        </w:numPr>
      </w:pPr>
      <w:r>
        <w:t xml:space="preserve">Self-Assessment Explanation/ Justification:</w:t>
      </w:r>
    </w:p>
    <w:p>
      <w:pPr>
        <w:pStyle w:val="Compact"/>
        <w:numPr>
          <w:ilvl w:val="0"/>
          <w:numId w:val="1107"/>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src-orbit-gslc</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pxl-radulov-gslc</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pxl-slarassi-gslc</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8"/>
        </w:numPr>
      </w:pPr>
      <w:r>
        <w:t xml:space="preserve">that product has been assessed as meeting CEOS-ARD requirements by the agency responsible for production and distribution of the product, and</w:t>
      </w:r>
    </w:p>
    <w:p>
      <w:pPr>
        <w:pStyle w:val="Compact"/>
        <w:numPr>
          <w:ilvl w:val="0"/>
          <w:numId w:val="110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80"/>
    <w:bookmarkStart w:id="281"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81"/>
    <w:bookmarkEnd w:id="282"/>
    <w:bookmarkStart w:id="300" w:name="references"/>
    <w:p>
      <w:pPr>
        <w:pStyle w:val="berschrift2"/>
      </w:pPr>
      <w:r>
        <w:t xml:space="preserve">References</w:t>
      </w:r>
    </w:p>
    <w:bookmarkStart w:id="299" w:name="refs"/>
    <w:bookmarkStart w:id="28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83">
        <w:r>
          <w:rPr>
            <w:rStyle w:val="Hyperlink"/>
          </w:rPr>
          <w:t xml:space="preserve">https://doi.org/10.5281/zenodo.17801666</w:t>
        </w:r>
      </w:hyperlink>
      <w:r>
        <w:t xml:space="preserve">.</w:t>
      </w:r>
    </w:p>
    <w:bookmarkEnd w:id="284"/>
    <w:bookmarkStart w:id="28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5"/>
    <w:bookmarkStart w:id="286"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86"/>
    <w:bookmarkStart w:id="28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7">
        <w:r>
          <w:rPr>
            <w:rStyle w:val="Hyperlink"/>
          </w:rPr>
          <w:t xml:space="preserve">https://doi.org/10.1109/TGRS.2008.2002881</w:t>
        </w:r>
      </w:hyperlink>
      <w:r>
        <w:t xml:space="preserve">.</w:t>
      </w:r>
    </w:p>
    <w:bookmarkEnd w:id="288"/>
    <w:bookmarkStart w:id="29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9">
        <w:r>
          <w:rPr>
            <w:rStyle w:val="Hyperlink"/>
          </w:rPr>
          <w:t xml:space="preserve">https://doi.org/10.1109/TGRS.2022.3147472</w:t>
        </w:r>
      </w:hyperlink>
      <w:r>
        <w:t xml:space="preserve">.</w:t>
      </w:r>
    </w:p>
    <w:bookmarkEnd w:id="290"/>
    <w:bookmarkStart w:id="29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91">
        <w:r>
          <w:rPr>
            <w:rStyle w:val="Hyperlink"/>
          </w:rPr>
          <w:t xml:space="preserve">https://doi.org/10.1109/TGRS.2011.2120616</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47" w:name="annexes"/>
    <w:p>
      <w:pPr>
        <w:pStyle w:val="berschrift2"/>
      </w:pPr>
      <w:r>
        <w:t xml:space="preserve">Annexes</w:t>
      </w:r>
    </w:p>
    <w:bookmarkStart w:id="302"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9"/>
        </w:numPr>
      </w:pPr>
      <w:r>
        <w:t xml:space="preserve">Apply instrument calibration to produce Beta-Nought values with high fidelity.</w:t>
      </w:r>
    </w:p>
    <w:p>
      <w:pPr>
        <w:pStyle w:val="Compact"/>
        <w:numPr>
          <w:ilvl w:val="0"/>
          <w:numId w:val="110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9"/>
        </w:numPr>
      </w:pPr>
      <w:r>
        <w:t xml:space="preserve">Generate CEOS format metadata to accompany product layers.</w:t>
      </w:r>
    </w:p>
    <w:p>
      <w:pPr>
        <w:pStyle w:val="Compact"/>
        <w:numPr>
          <w:ilvl w:val="0"/>
          <w:numId w:val="110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10"/>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10"/>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46"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12</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13</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5"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12</m:t>
          </m:r>
          <m:r>
            <m:rPr>
              <m:sty m:val="p"/>
            </m:rPr>
            <m:t>)</m:t>
          </m:r>
        </m:oMath>
      </m:oMathPara>
      <w:bookmarkEnd w:id="315"/>
    </w:p>
    <w:p>
      <w:pPr>
        <w:pStyle w:val="FirstParagraph"/>
      </w:pPr>
      <w:r>
        <w:t xml:space="preserve">The InSAR differential phase (Eq. </w:t>
      </w:r>
      <w:hyperlink w:anchor="eq:sar-gslc-example-eq2">
        <w:r>
          <w:rPr>
            <w:rStyle w:val="Hyperlink"/>
          </w:rPr>
          <w:t xml:space="preserve">13</w:t>
        </w:r>
      </w:hyperlink>
      <w:r>
        <w:t xml:space="preserve">) is the argument of the complex coherence estimated with Eq. </w:t>
      </w:r>
      <w:hyperlink w:anchor="eq:sar-gslc-example-eq1">
        <w:r>
          <w:rPr>
            <w:rStyle w:val="Hyperlink"/>
          </w:rPr>
          <w:t xml:space="preserve">12</w:t>
        </w:r>
      </w:hyperlink>
      <w:r>
        <w:t xml:space="preserve">.</w:t>
      </w:r>
    </w:p>
    <w:p>
      <w:pPr>
        <w:pStyle w:val="Textkrper"/>
      </w:pPr>
      <w:bookmarkStart w:id="316"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13</m:t>
          </m:r>
          <m:r>
            <m:rPr>
              <m:sty m:val="p"/>
            </m:rPr>
            <m:t>)</m:t>
          </m:r>
        </m:oMath>
      </m:oMathPara>
      <w:bookmarkEnd w:id="316"/>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14</w:t>
        </w:r>
      </w:hyperlink>
      <w:r>
        <w:t xml:space="preserve">) can be estimated in the similar manner as Eq. </w:t>
      </w:r>
      <w:hyperlink w:anchor="eq:sar-gslc-example-eq1">
        <w:r>
          <w:rPr>
            <w:rStyle w:val="Hyperlink"/>
          </w:rPr>
          <w:t xml:space="preserve">12</w:t>
        </w:r>
      </w:hyperlink>
      <w:r>
        <w:t xml:space="preserve"> </w:t>
      </w:r>
      <w:r>
        <w:t xml:space="preserve">for GSLC products.</w:t>
      </w:r>
    </w:p>
    <w:p>
      <w:pPr>
        <w:pStyle w:val="Textkrper"/>
      </w:pPr>
      <w:bookmarkStart w:id="317"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14</m:t>
          </m:r>
          <m:r>
            <m:rPr>
              <m:sty m:val="p"/>
            </m:rPr>
            <m:t>)</m:t>
          </m:r>
        </m:oMath>
      </m:oMathPara>
      <w:bookmarkEnd w:id="317"/>
    </w:p>
    <w:p>
      <w:pPr>
        <w:pStyle w:val="FirstParagraph"/>
      </w:pPr>
      <w:r>
        <w:t xml:space="preserve">The following figures show Sentinel-1 GSLC product examples over Death Valley National Park, California, US:</w:t>
      </w:r>
    </w:p>
    <w:bookmarkStart w:id="321" w:name="fig:sar-gslc-example-fig1a"/>
    <w:p>
      <w:pPr>
        <w:pStyle w:val="CaptionedFigure"/>
      </w:pPr>
      <w:r>
        <w:drawing>
          <wp:inline>
            <wp:extent cx="3419475" cy="1743075"/>
            <wp:effectExtent b="0" l="0" r="0" t="0"/>
            <wp:docPr descr="Figure 1: GSLC1: Intensity data of the first GSLC product (2017-05-27)" title="" id="319" name="Picture"/>
            <a:graphic>
              <a:graphicData uri="http://schemas.openxmlformats.org/drawingml/2006/picture">
                <pic:pic>
                  <pic:nvPicPr>
                    <pic:cNvPr descr="assets/sar-gslc-example/S1-GSLC1.jpeg" id="320" name="Picture"/>
                    <pic:cNvPicPr>
                      <a:picLocks noChangeArrowheads="1" noChangeAspect="1"/>
                    </pic:cNvPicPr>
                  </pic:nvPicPr>
                  <pic:blipFill>
                    <a:blip r:embed="rId318"/>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1"/>
    <w:bookmarkStart w:id="325" w:name="fig:sar-gslc-example-fig1b"/>
    <w:p>
      <w:pPr>
        <w:pStyle w:val="CaptionedFigure"/>
      </w:pPr>
      <w:r>
        <w:drawing>
          <wp:inline>
            <wp:extent cx="3419475" cy="1666875"/>
            <wp:effectExtent b="0" l="0" r="0" t="0"/>
            <wp:docPr descr="Figure 2: GSLC2: Intensity data of the second GSLC product (2017-06-08)" title="" id="323" name="Picture"/>
            <a:graphic>
              <a:graphicData uri="http://schemas.openxmlformats.org/drawingml/2006/picture">
                <pic:pic>
                  <pic:nvPicPr>
                    <pic:cNvPr descr="assets/sar-gslc-example/S1-GSLC2.jpeg" id="324" name="Picture"/>
                    <pic:cNvPicPr>
                      <a:picLocks noChangeArrowheads="1" noChangeAspect="1"/>
                    </pic:cNvPicPr>
                  </pic:nvPicPr>
                  <pic:blipFill>
                    <a:blip r:embed="rId322"/>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5"/>
    <w:bookmarkStart w:id="329" w:name="fig:sar-gslc-example-fig1c"/>
    <w:p>
      <w:pPr>
        <w:pStyle w:val="CaptionedFigure"/>
      </w:pPr>
      <w:r>
        <w:drawing>
          <wp:inline>
            <wp:extent cx="3810000" cy="2540000"/>
            <wp:effectExtent b="0" l="0" r="0" t="0"/>
            <wp:docPr descr="Figure 3: InSAR coherence map generated directly from Figure 1 and Figure 2" title="" id="327" name="Picture"/>
            <a:graphic>
              <a:graphicData uri="http://schemas.openxmlformats.org/drawingml/2006/picture">
                <pic:pic>
                  <pic:nvPicPr>
                    <pic:cNvPr descr="assets/sar-gslc-example/S1-InSAR-coherence.png" id="328" name="Picture"/>
                    <pic:cNvPicPr>
                      <a:picLocks noChangeArrowheads="1" noChangeAspect="1"/>
                    </pic:cNvPicPr>
                  </pic:nvPicPr>
                  <pic:blipFill>
                    <a:blip r:embed="rId32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9"/>
    <w:bookmarkStart w:id="333" w:name="fig:sar-gslc-example-fig1d"/>
    <w:p>
      <w:pPr>
        <w:pStyle w:val="CaptionedFigure"/>
      </w:pPr>
      <w:r>
        <w:drawing>
          <wp:inline>
            <wp:extent cx="3810000" cy="2540000"/>
            <wp:effectExtent b="0" l="0" r="0" t="0"/>
            <wp:docPr descr="Figure 4: InSAR differential phase map generated directly from Figure 1 and Figure 2" title="" id="331" name="Picture"/>
            <a:graphic>
              <a:graphicData uri="http://schemas.openxmlformats.org/drawingml/2006/picture">
                <pic:pic>
                  <pic:nvPicPr>
                    <pic:cNvPr descr="assets/sar-gslc-example/S1-InSAR-differential-phas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7" w:name="fig:sar-gslc-example-fig2a"/>
    <w:p>
      <w:pPr>
        <w:pStyle w:val="CaptionedFigure"/>
      </w:pPr>
      <w:r>
        <w:drawing>
          <wp:inline>
            <wp:extent cx="3810000" cy="2540000"/>
            <wp:effectExtent b="0" l="0" r="0" t="0"/>
            <wp:docPr descr="Figure 5: x unit component" title="" id="335" name="Picture"/>
            <a:graphic>
              <a:graphicData uri="http://schemas.openxmlformats.org/drawingml/2006/picture">
                <pic:pic>
                  <pic:nvPicPr>
                    <pic:cNvPr descr="assets/sar-gslc-example/S1-GSLC-x-component.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7"/>
    <w:bookmarkStart w:id="341" w:name="fig:sar-gslc-example-fig2b"/>
    <w:p>
      <w:pPr>
        <w:pStyle w:val="CaptionedFigure"/>
      </w:pPr>
      <w:r>
        <w:drawing>
          <wp:inline>
            <wp:extent cx="3810000" cy="2540000"/>
            <wp:effectExtent b="0" l="0" r="0" t="0"/>
            <wp:docPr descr="Figure 6: y unit component" title="" id="339" name="Picture"/>
            <a:graphic>
              <a:graphicData uri="http://schemas.openxmlformats.org/drawingml/2006/picture">
                <pic:pic>
                  <pic:nvPicPr>
                    <pic:cNvPr descr="assets/sar-gslc-example/S1-GSLC-y-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1"/>
    <w:bookmarkStart w:id="345" w:name="fig:sar-gslc-example-fig2c"/>
    <w:p>
      <w:pPr>
        <w:pStyle w:val="CaptionedFigure"/>
      </w:pPr>
      <w:r>
        <w:drawing>
          <wp:inline>
            <wp:extent cx="3810000" cy="2540000"/>
            <wp:effectExtent b="0" l="0" r="0" t="0"/>
            <wp:docPr descr="Figure 7: z unit component" title="" id="343" name="Picture"/>
            <a:graphic>
              <a:graphicData uri="http://schemas.openxmlformats.org/drawingml/2006/picture">
                <pic:pic>
                  <pic:nvPicPr>
                    <pic:cNvPr descr="assets/sar-gslc-example/S1-GSLC-z-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5"/>
    <w:bookmarkEnd w:id="346"/>
    <w:bookmarkEnd w:id="347"/>
    <w:bookmarkEnd w:id="34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18" Target="media/rId318.jpg" /><Relationship Type="http://schemas.openxmlformats.org/officeDocument/2006/relationships/image" Id="rId322" Target="media/rId322.jp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7"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1.2120616" TargetMode="External" /><Relationship Type="http://schemas.openxmlformats.org/officeDocument/2006/relationships/hyperlink" Id="rId289" Target="https://doi.org/10.1109/TGRS.2022.3147472" TargetMode="External" /><Relationship Type="http://schemas.openxmlformats.org/officeDocument/2006/relationships/hyperlink" Id="rId28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2.0.0-draft</dc:title>
  <dc:creator/>
  <dc:language>en</dc:language>
  <cp:keywords/>
  <dcterms:created xsi:type="dcterms:W3CDTF">2026-09-15T18:54:30Z</dcterms:created>
  <dcterms:modified xsi:type="dcterms:W3CDTF">2026-09-15T18:54:30Z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