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rId282.png" ContentType="image/png"/>
  <Override PartName="/word/media/rId278.png" ContentType="image/png"/>
  <Override PartName="/word/media/rId286.png" ContentType="image/png"/>
  <Override PartName="/word/media/rId298.png" ContentType="image/png"/>
  <Override PartName="/word/media/rId290.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304" w:name="X405d8e65832ac294d4126c2e16ac6a514f2a68e"/>
    <w:p>
      <w:pPr>
        <w:pStyle w:val="berschrift1"/>
      </w:pPr>
      <w:r>
        <w:t xml:space="preserve">CEOS-ARD - Synthetic Aperture Radar - Ocean Radar Backscatter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Ocean Radar Backscatter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Ocean Radar Backscatter (ORB)</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Ocean Radar Backscatter (ORB)</w:t>
      </w:r>
    </w:p>
    <w:p>
      <w:pPr>
        <w:pStyle w:val="Textkrper"/>
      </w:pPr>
      <w:r>
        <w:rPr>
          <w:b/>
          <w:bCs/>
        </w:rPr>
        <w:t xml:space="preserve">Version:</w:t>
      </w:r>
      <w:r>
        <w:t xml:space="preserve"> </w:t>
      </w:r>
      <w:r>
        <w:t xml:space="preserve">1.1.0-draft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Ocean Radar Backscatter (ORB) product specification describes products that have been projected on a geoid and are provided in the Sigma-Nought (</w:t>
      </w:r>
      <m:oMath>
        <m:sSup>
          <m:e>
            <m:r>
              <m:t>σ</m:t>
            </m:r>
          </m:e>
          <m:sup>
            <m:r>
              <m:t>0</m:t>
            </m:r>
          </m:sup>
        </m:sSup>
      </m:oMath>
      <w:r>
        <w:t xml:space="preserve">) backscatter convention, which is recommended for most ocean applications.</w:t>
      </w:r>
      <w:r>
        <w:t xml:space="preserve"> </w:t>
      </w:r>
      <w:r>
        <w:t xml:space="preserve">Backscatter may be calibrated to the ellipsoid (</w:t>
      </w:r>
      <m:oMath>
        <m:sSubSup>
          <m:e>
            <m:r>
              <m:t>σ</m:t>
            </m:r>
          </m:e>
          <m:sub>
            <m:r>
              <m:t>E</m:t>
            </m:r>
          </m:sub>
          <m:sup>
            <m:r>
              <m:t>0</m:t>
            </m:r>
          </m:sup>
        </m:sSubSup>
      </m:oMath>
      <w:r>
        <w:t xml:space="preserve">) or radiometrically terrain corrected (</w:t>
      </w:r>
      <m:oMath>
        <m:sSubSup>
          <m:e>
            <m:r>
              <m:t>σ</m:t>
            </m:r>
          </m:e>
          <m:sub>
            <m:r>
              <m:t>T</m:t>
            </m:r>
          </m:sub>
          <m:sup>
            <m:r>
              <m:t>0</m:t>
            </m:r>
          </m:sup>
        </m:sSubSup>
      </m:oMath>
      <w:r>
        <w:t xml:space="preserve">) prior to geometric terrain correction.</w:t>
      </w:r>
      <w:r>
        <w:t xml:space="preserve"> </w:t>
      </w:r>
      <w:r>
        <w:t xml:space="preserve">As the basic ORB product contains backscatter values only, it</w:t>
      </w:r>
      <w:r>
        <w:t xml:space="preserve"> </w:t>
      </w:r>
      <w:r>
        <w:rPr>
          <w:i/>
          <w:iCs/>
        </w:rPr>
        <w:t xml:space="preserve">cannot</w:t>
      </w:r>
      <w:r>
        <w:t xml:space="preserve"> </w:t>
      </w:r>
      <w:r>
        <w:t xml:space="preserve">be directly used for SAR polarimetry or interferometric applications that require local phase estimates.</w:t>
      </w:r>
      <w:r>
        <w:t xml:space="preserve"> </w:t>
      </w:r>
      <w:r>
        <w:t xml:space="preserve">Nonetheless, an advanced ORB product could include the upper diagonal of the polarimetric</w:t>
      </w:r>
      <w:r>
        <w:t xml:space="preserve"> </w:t>
      </w:r>
      <m:oMath>
        <m:sSup>
          <m:e>
            <m:r>
              <m:t>σ</m:t>
            </m:r>
          </m:e>
          <m:sup>
            <m:r>
              <m:t>0</m:t>
            </m:r>
          </m:sup>
        </m:sSup>
      </m:oMath>
      <w:r>
        <w:t xml:space="preserve"> </w:t>
      </w:r>
      <w:r>
        <w:t xml:space="preserve">covariance matrix for enabling advanced polarimetric analysis (similar to the POL product).</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GSLC</w:t>
      </w:r>
    </w:p>
    <w:p>
      <w:pPr>
        <w:pStyle w:val="Definition"/>
      </w:pPr>
      <w:r>
        <w:t xml:space="preserve">Geocoded Single-Look Complex</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242"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Pass direction (asc/desc), see note</w:t>
      </w:r>
    </w:p>
    <w:p>
      <w:pPr>
        <w:pStyle w:val="Compact"/>
        <w:numPr>
          <w:ilvl w:val="0"/>
          <w:numId w:val="1016"/>
        </w:numPr>
      </w:pPr>
      <w:r>
        <w:t xml:space="preserve">Orbit data source (e.g., predicted, definite, precise, downlinked, etc.)</w:t>
      </w:r>
    </w:p>
    <w:p>
      <w:pPr>
        <w:pStyle w:val="FirstParagraph"/>
      </w:pPr>
      <w:r>
        <w:t xml:space="preserve">Note:</w:t>
      </w:r>
    </w:p>
    <w:p>
      <w:pPr>
        <w:pStyle w:val="Compact"/>
        <w:numPr>
          <w:ilvl w:val="0"/>
          <w:numId w:val="1017"/>
        </w:numPr>
      </w:pPr>
      <w:r>
        <w:t xml:space="preserve">For source data crossing the North or South Pole, it is recommended to produce two distinct CEOS-ARD products and to use the appropriate “Pass direction” in each.</w:t>
      </w:r>
    </w:p>
    <w:bookmarkEnd w:id="80"/>
    <w:bookmarkStart w:id="81" w:name="goal-requirements-10"/>
    <w:p>
      <w:pPr>
        <w:pStyle w:val="berschrift5"/>
      </w:pPr>
      <w:r>
        <w:t xml:space="preserve">Goal requirements:</w:t>
      </w:r>
    </w:p>
    <w:p>
      <w:pPr>
        <w:pStyle w:val="FirstParagraph"/>
      </w:pPr>
      <w:r>
        <w:t xml:space="preserve">As threshold, including also:</w:t>
      </w:r>
    </w:p>
    <w:p>
      <w:pPr>
        <w:pStyle w:val="Compact"/>
        <w:numPr>
          <w:ilvl w:val="0"/>
          <w:numId w:val="1018"/>
        </w:numPr>
      </w:pPr>
      <w:r>
        <w:t xml:space="preserve">Platform heading angle expressed in degrees (0-360) from North</w:t>
      </w:r>
    </w:p>
    <w:p>
      <w:pPr>
        <w:pStyle w:val="Compact"/>
        <w:numPr>
          <w:ilvl w:val="0"/>
          <w:numId w:val="1018"/>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8"/>
        </w:numPr>
      </w:pPr>
      <w:r>
        <w:t xml:space="preserve">Platform (mean) altitude</w:t>
      </w:r>
    </w:p>
    <w:p>
      <w:pPr>
        <w:pStyle w:val="Compact"/>
        <w:numPr>
          <w:ilvl w:val="0"/>
          <w:numId w:val="1018"/>
        </w:numPr>
      </w:pPr>
      <w:r>
        <w:t xml:space="preserve">Absolute orbit number</w:t>
      </w:r>
    </w:p>
    <w:p>
      <w:pPr>
        <w:pStyle w:val="Compact"/>
        <w:numPr>
          <w:ilvl w:val="0"/>
          <w:numId w:val="1018"/>
        </w:numPr>
      </w:pPr>
      <w:r>
        <w:t xml:space="preserve">Relative orbit number</w:t>
      </w:r>
    </w:p>
    <w:bookmarkEnd w:id="81"/>
    <w:bookmarkStart w:id="82" w:name="assessment-10"/>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0"/>
        </w:numPr>
      </w:pPr>
      <w:r>
        <w:t xml:space="preserve">Processing facility</w:t>
      </w:r>
    </w:p>
    <w:p>
      <w:pPr>
        <w:pStyle w:val="Compact"/>
        <w:numPr>
          <w:ilvl w:val="0"/>
          <w:numId w:val="1020"/>
        </w:numPr>
      </w:pPr>
      <w:r>
        <w:t xml:space="preserve">Processing date</w:t>
      </w:r>
    </w:p>
    <w:p>
      <w:pPr>
        <w:pStyle w:val="Compact"/>
        <w:numPr>
          <w:ilvl w:val="0"/>
          <w:numId w:val="1020"/>
        </w:numPr>
      </w:pPr>
      <w:r>
        <w:t xml:space="preserve">Software version</w:t>
      </w:r>
    </w:p>
    <w:p>
      <w:pPr>
        <w:pStyle w:val="Compact"/>
        <w:numPr>
          <w:ilvl w:val="0"/>
          <w:numId w:val="1020"/>
        </w:numPr>
      </w:pPr>
      <w:r>
        <w:t xml:space="preserve">Product level</w:t>
      </w:r>
    </w:p>
    <w:p>
      <w:pPr>
        <w:pStyle w:val="Compact"/>
        <w:numPr>
          <w:ilvl w:val="0"/>
          <w:numId w:val="1020"/>
        </w:numPr>
      </w:pPr>
      <w:r>
        <w:t xml:space="preserve">Product ID (file name)</w:t>
      </w:r>
    </w:p>
    <w:p>
      <w:pPr>
        <w:pStyle w:val="Compact"/>
        <w:numPr>
          <w:ilvl w:val="0"/>
          <w:numId w:val="1020"/>
        </w:numPr>
      </w:pPr>
      <w:r>
        <w:t xml:space="preserve">Azimuth number of looks</w:t>
      </w:r>
    </w:p>
    <w:p>
      <w:pPr>
        <w:pStyle w:val="Compact"/>
        <w:numPr>
          <w:ilvl w:val="0"/>
          <w:numId w:val="1020"/>
        </w:numPr>
      </w:pPr>
      <w:r>
        <w:t xml:space="preserve">Range number of looks (separate values for each beam, as necessary)</w:t>
      </w:r>
    </w:p>
    <w:p>
      <w:pPr>
        <w:pStyle w:val="FirstParagraph"/>
      </w:pPr>
      <w:r>
        <w:t xml:space="preserve">Note:</w:t>
      </w:r>
    </w:p>
    <w:p>
      <w:pPr>
        <w:pStyle w:val="Compact"/>
        <w:numPr>
          <w:ilvl w:val="0"/>
          <w:numId w:val="1021"/>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3"/>
        </w:numPr>
      </w:pPr>
      <w:r>
        <w:t xml:space="preserve">Source data geometry (slant range/ground range/geocoded)</w:t>
      </w:r>
    </w:p>
    <w:p>
      <w:pPr>
        <w:pStyle w:val="Compact"/>
        <w:numPr>
          <w:ilvl w:val="0"/>
          <w:numId w:val="1023"/>
        </w:numPr>
      </w:pPr>
      <w:r>
        <w:t xml:space="preserve">Azimuth pixel spacing [m] (alternatively, azimuth pixel spacing can be provided in second [s], equivalent to the azimuth time sample interval)</w:t>
      </w:r>
    </w:p>
    <w:p>
      <w:pPr>
        <w:pStyle w:val="Compact"/>
        <w:numPr>
          <w:ilvl w:val="0"/>
          <w:numId w:val="1023"/>
        </w:numPr>
      </w:pPr>
      <w:r>
        <w:t xml:space="preserve">Range pixel spacing</w:t>
      </w:r>
    </w:p>
    <w:p>
      <w:pPr>
        <w:pStyle w:val="Compact"/>
        <w:numPr>
          <w:ilvl w:val="0"/>
          <w:numId w:val="1023"/>
        </w:numPr>
      </w:pPr>
      <w:r>
        <w:t xml:space="preserve">Azimuth resolution</w:t>
      </w:r>
    </w:p>
    <w:p>
      <w:pPr>
        <w:pStyle w:val="Compact"/>
        <w:numPr>
          <w:ilvl w:val="0"/>
          <w:numId w:val="1023"/>
        </w:numPr>
      </w:pPr>
      <w:r>
        <w:t xml:space="preserve">Range resolution</w:t>
      </w:r>
    </w:p>
    <w:p>
      <w:pPr>
        <w:pStyle w:val="Compact"/>
        <w:numPr>
          <w:ilvl w:val="0"/>
          <w:numId w:val="1023"/>
        </w:numPr>
      </w:pPr>
      <w:r>
        <w:t xml:space="preserve">Near range incident angle</w:t>
      </w:r>
    </w:p>
    <w:p>
      <w:pPr>
        <w:pStyle w:val="Compact"/>
        <w:numPr>
          <w:ilvl w:val="0"/>
          <w:numId w:val="1023"/>
        </w:numPr>
      </w:pPr>
      <w:r>
        <w:t xml:space="preserve">Far range incident angle</w:t>
      </w:r>
    </w:p>
    <w:p>
      <w:pPr>
        <w:pStyle w:val="FirstParagraph"/>
      </w:pPr>
      <w:r>
        <w:t xml:space="preserve">Note:</w:t>
      </w:r>
    </w:p>
    <w:p>
      <w:pPr>
        <w:pStyle w:val="Compact"/>
        <w:numPr>
          <w:ilvl w:val="0"/>
          <w:numId w:val="1024"/>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10"/>
    <w:bookmarkEnd w:id="111"/>
    <w:bookmarkEnd w:id="112"/>
    <w:bookmarkStart w:id="162"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31"/>
        </w:numPr>
      </w:pPr>
      <w:r>
        <w:t xml:space="preserve">Processing facility</w:t>
      </w:r>
    </w:p>
    <w:p>
      <w:pPr>
        <w:pStyle w:val="Compact"/>
        <w:numPr>
          <w:ilvl w:val="0"/>
          <w:numId w:val="1031"/>
        </w:numPr>
      </w:pPr>
      <w:r>
        <w:t xml:space="preserve">Processing date</w:t>
      </w:r>
    </w:p>
    <w:p>
      <w:pPr>
        <w:pStyle w:val="Compact"/>
        <w:numPr>
          <w:ilvl w:val="0"/>
          <w:numId w:val="1031"/>
        </w:numPr>
      </w:pPr>
      <w:r>
        <w:t xml:space="preserve">Software version</w:t>
      </w:r>
    </w:p>
    <w:p>
      <w:pPr>
        <w:pStyle w:val="Compact"/>
        <w:numPr>
          <w:ilvl w:val="0"/>
          <w:numId w:val="1031"/>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3"/>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5"/>
        </w:numPr>
      </w:pPr>
      <w:r>
        <w:t xml:space="preserve">Pixel (column) spacing</w:t>
      </w:r>
    </w:p>
    <w:p>
      <w:pPr>
        <w:pStyle w:val="Compact"/>
        <w:numPr>
          <w:ilvl w:val="0"/>
          <w:numId w:val="1035"/>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3"/>
    <w:bookmarkEnd w:id="124"/>
    <w:bookmarkStart w:id="128"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Equivalent Number of Looks (ENL)</w:t>
      </w:r>
    </w:p>
    <w:bookmarkEnd w:id="126"/>
    <w:bookmarkStart w:id="127" w:name="assessment-21"/>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27"/>
    <w:bookmarkEnd w:id="128"/>
    <w:bookmarkStart w:id="132"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9" w:name="threshold-requirements-22"/>
    <w:p>
      <w:pPr>
        <w:pStyle w:val="berschrift5"/>
      </w:pPr>
      <w:r>
        <w:t xml:space="preserve">Threshold requirements:</w:t>
      </w:r>
    </w:p>
    <w:p>
      <w:pPr>
        <w:pStyle w:val="FirstParagraph"/>
      </w:pPr>
      <w:r>
        <w:t xml:space="preserve">Not required.</w:t>
      </w:r>
      <w:r>
        <w:t xml:space="preserve"> </w:t>
      </w:r>
    </w:p>
    <w:bookmarkEnd w:id="129"/>
    <w:bookmarkStart w:id="130" w:name="goal-requirements-22"/>
    <w:p>
      <w:pPr>
        <w:pStyle w:val="berschrift5"/>
      </w:pPr>
      <w:r>
        <w:t xml:space="preserve">Goal requirements:</w:t>
      </w:r>
    </w:p>
    <w:p>
      <w:pPr>
        <w:pStyle w:val="FirstParagraph"/>
      </w:pPr>
      <w:r>
        <w:t xml:space="preserve">Average spatial resolution of the CEOS-ARD product along:</w:t>
      </w:r>
    </w:p>
    <w:p>
      <w:pPr>
        <w:pStyle w:val="Compact"/>
        <w:numPr>
          <w:ilvl w:val="0"/>
          <w:numId w:val="1038"/>
        </w:numPr>
      </w:pPr>
      <w:r>
        <w:t xml:space="preserve">Columns</w:t>
      </w:r>
    </w:p>
    <w:p>
      <w:pPr>
        <w:pStyle w:val="Compact"/>
        <w:numPr>
          <w:ilvl w:val="0"/>
          <w:numId w:val="1038"/>
        </w:numPr>
      </w:pPr>
      <w:r>
        <w:t xml:space="preserve">Rows</w:t>
      </w:r>
    </w:p>
    <w:bookmarkEnd w:id="130"/>
    <w:bookmarkStart w:id="131" w:name="assessment-22"/>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1"/>
    <w:bookmarkEnd w:id="132"/>
    <w:bookmarkStart w:id="136" w:name="sec:prd-spekfil"/>
    <w:p>
      <w:pPr>
        <w:pStyle w:val="berschrift4"/>
      </w:pPr>
      <w:r>
        <w:rPr>
          <w:rStyle w:val="VerbatimChar"/>
        </w:rPr>
        <w:t xml:space="preserve">3.6.</w:t>
      </w:r>
      <w:r>
        <w:t xml:space="preserve"> </w:t>
      </w:r>
      <w:r>
        <w:t xml:space="preserve">Product Filtering</w:t>
      </w:r>
    </w:p>
    <w:p>
      <w:pPr>
        <w:pStyle w:val="FirstParagraph"/>
      </w:pPr>
      <w:r>
        <w:t xml:space="preserve">Identifier:</w:t>
      </w:r>
      <w:r>
        <w:t xml:space="preserve"> </w:t>
      </w:r>
      <w:r>
        <w:rPr>
          <w:rStyle w:val="VerbatimChar"/>
        </w:rPr>
        <w:t xml:space="preserve">prd-spekfil</w:t>
      </w:r>
    </w:p>
    <w:bookmarkStart w:id="133" w:name="threshold-requirements-23"/>
    <w:p>
      <w:pPr>
        <w:pStyle w:val="berschrift5"/>
      </w:pPr>
      <w:r>
        <w:t xml:space="preserve">Threshold requirements:</w:t>
      </w:r>
    </w:p>
    <w:p>
      <w:pPr>
        <w:pStyle w:val="FirstParagraph"/>
      </w:pPr>
      <w:r>
        <w:t xml:space="preserve">Flag if speckle filter has been applied (true/false).</w:t>
      </w:r>
    </w:p>
    <w:p>
      <w:pPr>
        <w:pStyle w:val="Textkrper"/>
      </w:pPr>
      <w:r>
        <w:t xml:space="preserve">Metadata should include:</w:t>
      </w:r>
    </w:p>
    <w:p>
      <w:pPr>
        <w:pStyle w:val="Compact"/>
        <w:numPr>
          <w:ilvl w:val="0"/>
          <w:numId w:val="1040"/>
        </w:numPr>
      </w:pPr>
      <w:r>
        <w:t xml:space="preserve">Reference to algorithm as DOI or URL</w:t>
      </w:r>
    </w:p>
    <w:p>
      <w:pPr>
        <w:pStyle w:val="Compact"/>
        <w:numPr>
          <w:ilvl w:val="0"/>
          <w:numId w:val="1040"/>
        </w:numPr>
      </w:pPr>
      <w:r>
        <w:t xml:space="preserve">Input filtering parameters</w:t>
      </w:r>
    </w:p>
    <w:p>
      <w:pPr>
        <w:pStyle w:val="Compact"/>
        <w:numPr>
          <w:ilvl w:val="1"/>
          <w:numId w:val="1041"/>
        </w:numPr>
      </w:pPr>
      <w:r>
        <w:t xml:space="preserve">Type</w:t>
      </w:r>
    </w:p>
    <w:p>
      <w:pPr>
        <w:pStyle w:val="Compact"/>
        <w:numPr>
          <w:ilvl w:val="1"/>
          <w:numId w:val="1041"/>
        </w:numPr>
      </w:pPr>
      <w:r>
        <w:t xml:space="preserve">Window size in pixel units</w:t>
      </w:r>
    </w:p>
    <w:p>
      <w:pPr>
        <w:pStyle w:val="Compact"/>
        <w:numPr>
          <w:ilvl w:val="1"/>
          <w:numId w:val="1041"/>
        </w:numPr>
      </w:pPr>
      <w:r>
        <w:t xml:space="preserve">Any other parameters defining the speckle filter used</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5"/>
    <w:bookmarkEnd w:id="136"/>
    <w:bookmarkStart w:id="140" w:name="sec:prd-geobbox"/>
    <w:p>
      <w:pPr>
        <w:pStyle w:val="berschrift4"/>
      </w:pPr>
      <w:r>
        <w:rPr>
          <w:rStyle w:val="VerbatimChar"/>
        </w:rPr>
        <w:t xml:space="preserve">3.7.</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7" w:name="threshold-requirements-24"/>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39"/>
    <w:bookmarkEnd w:id="140"/>
    <w:bookmarkStart w:id="144" w:name="sec:prd-geoarea-sar"/>
    <w:p>
      <w:pPr>
        <w:pStyle w:val="berschrift4"/>
      </w:pPr>
      <w:r>
        <w:rPr>
          <w:rStyle w:val="VerbatimChar"/>
        </w:rPr>
        <w:t xml:space="preserve">3.8.</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41" w:name="threshold-requirements-25"/>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43"/>
    <w:bookmarkEnd w:id="144"/>
    <w:bookmarkStart w:id="148" w:name="sec:prd-imgsize"/>
    <w:p>
      <w:pPr>
        <w:pStyle w:val="berschrift4"/>
      </w:pPr>
      <w:r>
        <w:rPr>
          <w:rStyle w:val="VerbatimChar"/>
        </w:rPr>
        <w:t xml:space="preserve">3.9.</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45" w:name="threshold-requirements-26"/>
    <w:p>
      <w:pPr>
        <w:pStyle w:val="berschrift5"/>
      </w:pPr>
      <w:r>
        <w:t xml:space="preserve">Threshold requirements:</w:t>
      </w:r>
    </w:p>
    <w:p>
      <w:pPr>
        <w:pStyle w:val="FirstParagraph"/>
      </w:pPr>
      <w:r>
        <w:t xml:space="preserve">Image attributes of the CEOS-ARD product:</w:t>
      </w:r>
    </w:p>
    <w:p>
      <w:pPr>
        <w:pStyle w:val="Compact"/>
        <w:numPr>
          <w:ilvl w:val="0"/>
          <w:numId w:val="1045"/>
        </w:numPr>
      </w:pPr>
      <w:r>
        <w:t xml:space="preserve">Number of lines</w:t>
      </w:r>
    </w:p>
    <w:p>
      <w:pPr>
        <w:pStyle w:val="Compact"/>
        <w:numPr>
          <w:ilvl w:val="0"/>
          <w:numId w:val="1045"/>
        </w:numPr>
      </w:pPr>
      <w:r>
        <w:t xml:space="preserve">Number of pixels per line</w:t>
      </w:r>
    </w:p>
    <w:p>
      <w:pPr>
        <w:pStyle w:val="Compact"/>
        <w:numPr>
          <w:ilvl w:val="0"/>
          <w:numId w:val="1045"/>
        </w:numPr>
      </w:pPr>
      <w:r>
        <w:t xml:space="preserve">File header size (if applicable)</w:t>
      </w:r>
    </w:p>
    <w:p>
      <w:pPr>
        <w:pStyle w:val="Compact"/>
        <w:numPr>
          <w:ilvl w:val="0"/>
          <w:numId w:val="1045"/>
        </w:numPr>
      </w:pPr>
      <w:r>
        <w:t xml:space="preserve">Number of no-data border pixels (if applicable)</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47"/>
    <w:bookmarkEnd w:id="148"/>
    <w:bookmarkStart w:id="152" w:name="sec:prd-pixcoco"/>
    <w:p>
      <w:pPr>
        <w:pStyle w:val="berschrift4"/>
      </w:pPr>
      <w:r>
        <w:rPr>
          <w:rStyle w:val="VerbatimChar"/>
        </w:rPr>
        <w:t xml:space="preserve">3.10.</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9" w:name="threshold-requirements-27"/>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51"/>
    <w:bookmarkEnd w:id="152"/>
    <w:bookmarkStart w:id="156" w:name="sec:prd-crs-sar"/>
    <w:p>
      <w:pPr>
        <w:pStyle w:val="berschrift4"/>
      </w:pPr>
      <w:r>
        <w:rPr>
          <w:rStyle w:val="VerbatimChar"/>
        </w:rPr>
        <w:t xml:space="preserve">3.11.</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53" w:name="threshold-requirements-28"/>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55"/>
    <w:bookmarkEnd w:id="156"/>
    <w:bookmarkStart w:id="161" w:name="sec:prd-lookdip"/>
    <w:p>
      <w:pPr>
        <w:pStyle w:val="berschrift4"/>
      </w:pPr>
      <w:r>
        <w:rPr>
          <w:rStyle w:val="VerbatimChar"/>
        </w:rPr>
        <w:t xml:space="preserve">3.12.</w:t>
      </w:r>
      <w:r>
        <w:t xml:space="preserve"> </w:t>
      </w:r>
      <w:r>
        <w:t xml:space="preserve">Look Direction Polynomials</w:t>
      </w:r>
    </w:p>
    <w:p>
      <w:pPr>
        <w:pStyle w:val="FirstParagraph"/>
      </w:pPr>
      <w:r>
        <w:t xml:space="preserve">Identifier:</w:t>
      </w:r>
      <w:r>
        <w:t xml:space="preserve"> </w:t>
      </w:r>
      <w:r>
        <w:rPr>
          <w:rStyle w:val="VerbatimChar"/>
        </w:rPr>
        <w:t xml:space="preserve">prd-lookdip</w:t>
      </w:r>
    </w:p>
    <w:bookmarkStart w:id="158" w:name="threshold-requirements-29"/>
    <w:p>
      <w:pPr>
        <w:pStyle w:val="berschrift5"/>
      </w:pPr>
      <w:r>
        <w:t xml:space="preserve">Threshold requirements:</w:t>
      </w:r>
    </w:p>
    <w:p>
      <w:pPr>
        <w:pStyle w:val="FirstParagraph"/>
      </w:pPr>
      <w:r>
        <w:t xml:space="preserve">In case the Look Direction Image (see</w:t>
      </w:r>
      <w:r>
        <w:t xml:space="preserve"> </w:t>
      </w:r>
      <w:hyperlink w:anchor="sec:pxl-lookdiri">
        <w:r>
          <w:rPr>
            <w:rStyle w:val="Hyperlink"/>
          </w:rPr>
          <w:t xml:space="preserve">Per-Pixel Metadata: Look Direction Image</w:t>
        </w:r>
      </w:hyperlink>
      <w:r>
        <w:t xml:space="preserve">) is</w:t>
      </w:r>
      <w:r>
        <w:t xml:space="preserve"> </w:t>
      </w:r>
      <w:r>
        <w:rPr>
          <w:b/>
          <w:bCs/>
        </w:rPr>
        <w:t xml:space="preserve">not</w:t>
      </w:r>
      <w:r>
        <w:t xml:space="preserve"> </w:t>
      </w:r>
      <w:r>
        <w:t xml:space="preserve">provided, then a list of the polynomial coefficients are necessary to reconstruct the look direction angle</w:t>
      </w:r>
      <w:r>
        <w:rPr>
          <w:rStyle w:val="Funotenzeichen"/>
        </w:rPr>
        <w:footnoteReference w:id="157"/>
      </w:r>
      <w:r>
        <w:t xml:space="preserve">, together with an estimate of the added error from use of polynomial vs. per-pixel more accurate values, shall be provided.</w:t>
      </w:r>
    </w:p>
    <w:p>
      <w:pPr>
        <w:pStyle w:val="Textkrper"/>
      </w:pPr>
      <w:r>
        <w:t xml:space="preserve">Example polynomial:</w:t>
      </w:r>
    </w:p>
    <w:p>
      <w:pPr>
        <w:pStyle w:val="Textkrper"/>
      </w:pPr>
      <m:oMathPara>
        <m:oMathParaPr>
          <m:jc m:val="center"/>
        </m:oMathParaPr>
        <m:oMath>
          <m:r>
            <m:rPr>
              <m:nor/>
              <m:sty m:val="p"/>
            </m:rPr>
            <m:t>LookDir</m:t>
          </m:r>
          <m:r>
            <m:rPr>
              <m:sty m:val="p"/>
            </m:rPr>
            <m:t>=</m:t>
          </m:r>
          <m:sSub>
            <m:e>
              <m:r>
                <m:t>a</m:t>
              </m:r>
            </m:e>
            <m:sub>
              <m:r>
                <m:t>1</m:t>
              </m:r>
            </m:sub>
          </m:sSub>
          <m:sSup>
            <m:e>
              <m:r>
                <m:rPr>
                  <m:nor/>
                  <m:sty m:val="p"/>
                </m:rPr>
                <m:t>Lat</m:t>
              </m:r>
            </m:e>
            <m:sup>
              <m:r>
                <m:t>2</m:t>
              </m:r>
            </m:sup>
          </m:sSup>
          <m:r>
            <m:rPr>
              <m:sty m:val="p"/>
            </m:rPr>
            <m:t>+</m:t>
          </m:r>
          <m:sSub>
            <m:e>
              <m:r>
                <m:t>a</m:t>
              </m:r>
            </m:e>
            <m:sub>
              <m:r>
                <m:t>2</m:t>
              </m:r>
            </m:sub>
          </m:sSub>
          <m:sSup>
            <m:e>
              <m:r>
                <m:rPr>
                  <m:nor/>
                  <m:sty m:val="p"/>
                </m:rPr>
                <m:t>Lon</m:t>
              </m:r>
            </m:e>
            <m:sup>
              <m:r>
                <m:t>2</m:t>
              </m:r>
            </m:sup>
          </m:sSup>
          <m:r>
            <m:rPr>
              <m:sty m:val="p"/>
            </m:rPr>
            <m:t>+</m:t>
          </m:r>
          <m:sSub>
            <m:e>
              <m:r>
                <m:t>a</m:t>
              </m:r>
            </m:e>
            <m:sub>
              <m:r>
                <m:t>3</m:t>
              </m:r>
            </m:sub>
          </m:sSub>
          <m:r>
            <m:rPr>
              <m:nor/>
              <m:sty m:val="p"/>
            </m:rPr>
            <m:t>LatLon</m:t>
          </m:r>
          <m:r>
            <m:rPr>
              <m:sty m:val="p"/>
            </m:rPr>
            <m:t>+</m:t>
          </m:r>
          <m:sSub>
            <m:e>
              <m:r>
                <m:t>a</m:t>
              </m:r>
            </m:e>
            <m:sub>
              <m:r>
                <m:t>4</m:t>
              </m:r>
            </m:sub>
          </m:sSub>
          <m:r>
            <m:rPr>
              <m:nor/>
              <m:sty m:val="p"/>
            </m:rPr>
            <m:t>Lat</m:t>
          </m:r>
          <m:r>
            <m:rPr>
              <m:sty m:val="p"/>
            </m:rPr>
            <m:t>+</m:t>
          </m:r>
          <m:sSub>
            <m:e>
              <m:r>
                <m:t>a</m:t>
              </m:r>
            </m:e>
            <m:sub>
              <m:r>
                <m:t>5</m:t>
              </m:r>
            </m:sub>
          </m:sSub>
          <m:r>
            <m:rPr>
              <m:nor/>
              <m:sty m:val="p"/>
            </m:rPr>
            <m:t>Lon</m:t>
          </m:r>
          <m:r>
            <m:rPr>
              <m:sty m:val="p"/>
            </m:rPr>
            <m:t>+</m:t>
          </m:r>
          <m:sSub>
            <m:e>
              <m:r>
                <m:t>a</m:t>
              </m:r>
            </m:e>
            <m:sub>
              <m:r>
                <m:t>6</m:t>
              </m:r>
            </m:sub>
          </m:sSub>
        </m:oMath>
      </m:oMathPara>
    </w:p>
    <w:p>
      <w:pPr>
        <w:pStyle w:val="FirstParagraph"/>
      </w:pPr>
      <w:r>
        <w:t xml:space="preserve">where:</w:t>
      </w:r>
    </w:p>
    <w:p>
      <w:pPr>
        <w:pStyle w:val="Compact"/>
        <w:numPr>
          <w:ilvl w:val="0"/>
          <w:numId w:val="1049"/>
        </w:numPr>
      </w:pPr>
      <m:oMath>
        <m:sSub>
          <m:e>
            <m:r>
              <m:t>a</m:t>
            </m:r>
          </m:e>
          <m:sub>
            <m:r>
              <m:t>i</m:t>
            </m:r>
          </m:sub>
        </m:sSub>
      </m:oMath>
      <w:r>
        <w:t xml:space="preserve"> </w:t>
      </w:r>
      <w:r>
        <w:t xml:space="preserve">= polynomial coefficients</w:t>
      </w:r>
    </w:p>
    <w:p>
      <w:pPr>
        <w:pStyle w:val="Compact"/>
        <w:numPr>
          <w:ilvl w:val="0"/>
          <w:numId w:val="1049"/>
        </w:numPr>
      </w:pPr>
      <m:oMath>
        <m:r>
          <m:rPr>
            <m:nor/>
            <m:sty m:val="p"/>
          </m:rPr>
          <m:t>Lat</m:t>
        </m:r>
      </m:oMath>
      <w:r>
        <w:t xml:space="preserve"> </w:t>
      </w:r>
      <w:r>
        <w:t xml:space="preserve">= latitude</w:t>
      </w:r>
      <w:r>
        <w:br/>
      </w:r>
    </w:p>
    <w:p>
      <w:pPr>
        <w:pStyle w:val="Compact"/>
        <w:numPr>
          <w:ilvl w:val="0"/>
          <w:numId w:val="1049"/>
        </w:numPr>
      </w:pPr>
      <m:oMath>
        <m:r>
          <m:rPr>
            <m:nor/>
            <m:sty m:val="p"/>
          </m:rPr>
          <m:t>Lon</m:t>
        </m:r>
      </m:oMath>
      <w:r>
        <w:t xml:space="preserve"> </w:t>
      </w:r>
      <w:r>
        <w:t xml:space="preserve">= longitude</w:t>
      </w:r>
    </w:p>
    <w:p>
      <w:pPr>
        <w:pStyle w:val="FirstParagraph"/>
      </w:pPr>
      <w:r>
        <w:t xml:space="preserve">Lat and Lon are the related coordinates in the product map units (m, deg, arcsec).</w:t>
      </w:r>
    </w:p>
    <w:bookmarkEnd w:id="158"/>
    <w:bookmarkStart w:id="159" w:name="goal-requirements-29"/>
    <w:p>
      <w:pPr>
        <w:pStyle w:val="berschrift5"/>
      </w:pPr>
      <w:r>
        <w:t xml:space="preserve">Goal requirements:</w:t>
      </w:r>
    </w:p>
    <w:p>
      <w:pPr>
        <w:pStyle w:val="FirstParagraph"/>
      </w:pPr>
      <w:r>
        <w:t xml:space="preserve">As threshold.</w:t>
      </w:r>
      <w:r>
        <w:t xml:space="preserve"> </w:t>
      </w:r>
    </w:p>
    <w:bookmarkEnd w:id="159"/>
    <w:bookmarkStart w:id="160" w:name="assessment-29"/>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bookmarkEnd w:id="160"/>
    <w:bookmarkEnd w:id="161"/>
    <w:bookmarkEnd w:id="162"/>
    <w:bookmarkStart w:id="199"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66"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63" w:name="threshold-requirements-30"/>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63"/>
    <w:bookmarkStart w:id="164" w:name="goal-requirements-30"/>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64"/>
    <w:bookmarkStart w:id="165" w:name="assessment-30"/>
    <w:p>
      <w:pPr>
        <w:pStyle w:val="berschrift5"/>
      </w:pPr>
      <w:r>
        <w:t xml:space="preserve">Assessment:</w:t>
      </w:r>
    </w:p>
    <w:p>
      <w:pPr>
        <w:pStyle w:val="Compact"/>
        <w:numPr>
          <w:ilvl w:val="0"/>
          <w:numId w:val="1051"/>
        </w:numPr>
      </w:pPr>
      <w:r>
        <w:t xml:space="preserve">Threshold Self-Assessment:</w:t>
      </w:r>
    </w:p>
    <w:p>
      <w:pPr>
        <w:pStyle w:val="Compact"/>
        <w:numPr>
          <w:ilvl w:val="0"/>
          <w:numId w:val="1051"/>
        </w:numPr>
      </w:pPr>
      <w:r>
        <w:t xml:space="preserve">Goal Self-Assessment:</w:t>
      </w:r>
    </w:p>
    <w:p>
      <w:pPr>
        <w:pStyle w:val="Compact"/>
        <w:numPr>
          <w:ilvl w:val="0"/>
          <w:numId w:val="1051"/>
        </w:numPr>
      </w:pPr>
      <w:r>
        <w:t xml:space="preserve">Self-Assessment Explanation/ Justification:</w:t>
      </w:r>
    </w:p>
    <w:p>
      <w:pPr>
        <w:pStyle w:val="Compact"/>
        <w:numPr>
          <w:ilvl w:val="0"/>
          <w:numId w:val="1051"/>
        </w:numPr>
      </w:pPr>
      <w:r>
        <w:t xml:space="preserve">Recommended Requirement Modification:</w:t>
      </w:r>
    </w:p>
    <w:p>
      <w:r>
        <w:pict>
          <v:rect style="width:0;height:1.5pt" o:hralign="center" o:hrstd="t" o:hr="t"/>
        </w:pict>
      </w:r>
    </w:p>
    <w:bookmarkEnd w:id="165"/>
    <w:bookmarkEnd w:id="166"/>
    <w:bookmarkStart w:id="170"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67" w:name="threshold-requirements-31"/>
    <w:p>
      <w:pPr>
        <w:pStyle w:val="berschrift5"/>
      </w:pPr>
      <w:r>
        <w:t xml:space="preserve">Threshold requirements:</w:t>
      </w:r>
    </w:p>
    <w:p>
      <w:pPr>
        <w:pStyle w:val="FirstParagraph"/>
      </w:pPr>
      <w:r>
        <w:t xml:space="preserve">Mask image indicating:</w:t>
      </w:r>
    </w:p>
    <w:p>
      <w:pPr>
        <w:pStyle w:val="Compact"/>
        <w:numPr>
          <w:ilvl w:val="0"/>
          <w:numId w:val="1052"/>
        </w:numPr>
      </w:pPr>
      <w:r>
        <w:t xml:space="preserve">Valid data</w:t>
      </w:r>
    </w:p>
    <w:p>
      <w:pPr>
        <w:pStyle w:val="Compact"/>
        <w:numPr>
          <w:ilvl w:val="0"/>
          <w:numId w:val="1052"/>
        </w:numPr>
      </w:pPr>
      <w:r>
        <w:t xml:space="preserve">Invalid data</w:t>
      </w:r>
    </w:p>
    <w:p>
      <w:pPr>
        <w:pStyle w:val="Compact"/>
        <w:numPr>
          <w:ilvl w:val="0"/>
          <w:numId w:val="1052"/>
        </w:numPr>
      </w:pPr>
      <w:r>
        <w:t xml:space="preserve">No data</w:t>
      </w:r>
    </w:p>
    <w:p>
      <w:pPr>
        <w:pStyle w:val="FirstParagraph"/>
      </w:pPr>
      <w:r>
        <w:t xml:space="preserve">File format specifications/contents provided in metadata:</w:t>
      </w:r>
    </w:p>
    <w:p>
      <w:pPr>
        <w:pStyle w:val="Compact"/>
        <w:numPr>
          <w:ilvl w:val="0"/>
          <w:numId w:val="1053"/>
        </w:numPr>
      </w:pPr>
      <w:r>
        <w:t xml:space="preserve">Sample Type (Mask)</w:t>
      </w:r>
    </w:p>
    <w:p>
      <w:pPr>
        <w:pStyle w:val="Compact"/>
        <w:numPr>
          <w:ilvl w:val="0"/>
          <w:numId w:val="1053"/>
        </w:numPr>
      </w:pPr>
      <w:r>
        <w:t xml:space="preserve">Data Format (GeoTIFF, HDF5, NetCDF, …)</w:t>
      </w:r>
    </w:p>
    <w:p>
      <w:pPr>
        <w:pStyle w:val="Compact"/>
        <w:numPr>
          <w:ilvl w:val="0"/>
          <w:numId w:val="1053"/>
        </w:numPr>
      </w:pPr>
      <w:r>
        <w:t xml:space="preserve">Data Type (Int, …)</w:t>
      </w:r>
    </w:p>
    <w:p>
      <w:pPr>
        <w:pStyle w:val="Compact"/>
        <w:numPr>
          <w:ilvl w:val="0"/>
          <w:numId w:val="1053"/>
        </w:numPr>
      </w:pPr>
      <w:r>
        <w:t xml:space="preserve">Bits per Sample</w:t>
      </w:r>
    </w:p>
    <w:p>
      <w:pPr>
        <w:pStyle w:val="Compact"/>
        <w:numPr>
          <w:ilvl w:val="0"/>
          <w:numId w:val="1053"/>
        </w:numPr>
      </w:pPr>
      <w:r>
        <w:t xml:space="preserve">Byte Order</w:t>
      </w:r>
    </w:p>
    <w:p>
      <w:pPr>
        <w:pStyle w:val="Compact"/>
        <w:numPr>
          <w:ilvl w:val="0"/>
          <w:numId w:val="1053"/>
        </w:numPr>
      </w:pPr>
      <w:r>
        <w:t xml:space="preserve">Bit Value Representation</w:t>
      </w:r>
    </w:p>
    <w:p>
      <w:pPr>
        <w:pStyle w:val="FirstParagraph"/>
      </w:pPr>
      <w:r>
        <w:t xml:space="preserve">Notes:</w:t>
      </w:r>
    </w:p>
    <w:p>
      <w:pPr>
        <w:pStyle w:val="Compact"/>
        <w:numPr>
          <w:ilvl w:val="0"/>
          <w:numId w:val="1054"/>
        </w:numPr>
      </w:pPr>
      <w:r>
        <w:t xml:space="preserve">All bit value representations included in the Data Mask Image should be indicated in the metadata.</w:t>
      </w:r>
    </w:p>
    <w:p>
      <w:pPr>
        <w:pStyle w:val="Compact"/>
        <w:numPr>
          <w:ilvl w:val="0"/>
          <w:numId w:val="1054"/>
        </w:numPr>
      </w:pPr>
      <w:r>
        <w:t xml:space="preserve">For CEOS-ARD products created from repeat-pass acquisitions, with narrow orbital tube radius, a single static per pixel metadata file can be provided as a URL address of that unique metadata file.</w:t>
      </w:r>
    </w:p>
    <w:bookmarkEnd w:id="167"/>
    <w:bookmarkStart w:id="168" w:name="goal-requirements-31"/>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5"/>
        </w:numPr>
      </w:pPr>
      <w:r>
        <w:t xml:space="preserve">Layover (masked as invalid data in threshold)</w:t>
      </w:r>
    </w:p>
    <w:p>
      <w:pPr>
        <w:pStyle w:val="Compact"/>
        <w:numPr>
          <w:ilvl w:val="0"/>
          <w:numId w:val="1055"/>
        </w:numPr>
      </w:pPr>
      <w:r>
        <w:t xml:space="preserve">Radar shadow (masked as invalid data in threshold)</w:t>
      </w:r>
    </w:p>
    <w:p>
      <w:pPr>
        <w:pStyle w:val="Compact"/>
        <w:numPr>
          <w:ilvl w:val="0"/>
          <w:numId w:val="1055"/>
        </w:numPr>
      </w:pPr>
      <w:r>
        <w:t xml:space="preserve">Ocean water</w:t>
      </w:r>
    </w:p>
    <w:p>
      <w:pPr>
        <w:pStyle w:val="Compact"/>
        <w:numPr>
          <w:ilvl w:val="0"/>
          <w:numId w:val="1055"/>
        </w:numPr>
      </w:pPr>
      <w:r>
        <w:t xml:space="preserve">Land (recommended for ORB)</w:t>
      </w:r>
    </w:p>
    <w:p>
      <w:pPr>
        <w:pStyle w:val="Compact"/>
        <w:numPr>
          <w:ilvl w:val="0"/>
          <w:numId w:val="1055"/>
        </w:numPr>
      </w:pPr>
      <w:r>
        <w:t xml:space="preserve">RTC applied (e.g., for maritime scenes with land samples for which RTC has been applied)</w:t>
      </w:r>
    </w:p>
    <w:p>
      <w:pPr>
        <w:pStyle w:val="Compact"/>
        <w:numPr>
          <w:ilvl w:val="0"/>
          <w:numId w:val="1055"/>
        </w:numPr>
      </w:pPr>
      <w:r>
        <w:t xml:space="preserve">DEM gap filling (i.e., interpolated DEM over gaps)</w:t>
      </w:r>
    </w:p>
    <w:bookmarkEnd w:id="168"/>
    <w:bookmarkStart w:id="169" w:name="assessment-31"/>
    <w:p>
      <w:pPr>
        <w:pStyle w:val="berschrift5"/>
      </w:pPr>
      <w:r>
        <w:t xml:space="preserve">Assessment:</w:t>
      </w:r>
    </w:p>
    <w:p>
      <w:pPr>
        <w:pStyle w:val="Compact"/>
        <w:numPr>
          <w:ilvl w:val="0"/>
          <w:numId w:val="1056"/>
        </w:numPr>
      </w:pPr>
      <w:r>
        <w:t xml:space="preserve">Threshold Self-Assessment:</w:t>
      </w:r>
    </w:p>
    <w:p>
      <w:pPr>
        <w:pStyle w:val="Compact"/>
        <w:numPr>
          <w:ilvl w:val="0"/>
          <w:numId w:val="1056"/>
        </w:numPr>
      </w:pPr>
      <w:r>
        <w:t xml:space="preserve">Goal Self-Assessment:</w:t>
      </w:r>
    </w:p>
    <w:p>
      <w:pPr>
        <w:pStyle w:val="Compact"/>
        <w:numPr>
          <w:ilvl w:val="0"/>
          <w:numId w:val="1056"/>
        </w:numPr>
      </w:pPr>
      <w:r>
        <w:t xml:space="preserve">Self-Assessment Explanation/ Justification:</w:t>
      </w:r>
    </w:p>
    <w:p>
      <w:pPr>
        <w:pStyle w:val="Compact"/>
        <w:numPr>
          <w:ilvl w:val="0"/>
          <w:numId w:val="1056"/>
        </w:numPr>
      </w:pPr>
      <w:r>
        <w:t xml:space="preserve">Recommended Requirement Modification:</w:t>
      </w:r>
    </w:p>
    <w:p>
      <w:r>
        <w:pict>
          <v:rect style="width:0;height:1.5pt" o:hralign="center" o:hrstd="t" o:hr="t"/>
        </w:pict>
      </w:r>
    </w:p>
    <w:bookmarkEnd w:id="169"/>
    <w:bookmarkEnd w:id="170"/>
    <w:bookmarkStart w:id="174"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71" w:name="threshold-requirements-32"/>
    <w:p>
      <w:pPr>
        <w:pStyle w:val="berschrift5"/>
      </w:pPr>
      <w:r>
        <w:t xml:space="preserve">Threshold requirements:</w:t>
      </w:r>
    </w:p>
    <w:p>
      <w:pPr>
        <w:pStyle w:val="FirstParagraph"/>
      </w:pPr>
      <w:r>
        <w:t xml:space="preserve">Not required.</w:t>
      </w:r>
      <w:r>
        <w:t xml:space="preserve"> </w:t>
      </w:r>
    </w:p>
    <w:bookmarkEnd w:id="171"/>
    <w:bookmarkStart w:id="172" w:name="goal-requirements-32"/>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57"/>
        </w:numPr>
      </w:pPr>
      <w:r>
        <w:t xml:space="preserve">Sample Type (Scattering Area)</w:t>
      </w:r>
    </w:p>
    <w:p>
      <w:pPr>
        <w:pStyle w:val="Compact"/>
        <w:numPr>
          <w:ilvl w:val="0"/>
          <w:numId w:val="1057"/>
        </w:numPr>
      </w:pPr>
      <w:r>
        <w:t xml:space="preserve">Data Format (GeoTIFF, HDF5, NetCDF, …)</w:t>
      </w:r>
    </w:p>
    <w:p>
      <w:pPr>
        <w:pStyle w:val="Compact"/>
        <w:numPr>
          <w:ilvl w:val="0"/>
          <w:numId w:val="1057"/>
        </w:numPr>
      </w:pPr>
      <w:r>
        <w:t xml:space="preserve">Data Type (Int, Float, …)</w:t>
      </w:r>
    </w:p>
    <w:p>
      <w:pPr>
        <w:pStyle w:val="Compact"/>
        <w:numPr>
          <w:ilvl w:val="0"/>
          <w:numId w:val="1057"/>
        </w:numPr>
      </w:pPr>
      <w:r>
        <w:t xml:space="preserve">Bits per Sample</w:t>
      </w:r>
    </w:p>
    <w:p>
      <w:pPr>
        <w:pStyle w:val="Compact"/>
        <w:numPr>
          <w:ilvl w:val="0"/>
          <w:numId w:val="1057"/>
        </w:numPr>
      </w:pPr>
      <w:r>
        <w:t xml:space="preserve">Byte Order</w:t>
      </w:r>
    </w:p>
    <w:p>
      <w:pPr>
        <w:pStyle w:val="FirstParagraph"/>
      </w:pPr>
      <w:r>
        <w:t xml:space="preserve">Notes:</w:t>
      </w:r>
    </w:p>
    <w:p>
      <w:pPr>
        <w:pStyle w:val="Compact"/>
        <w:numPr>
          <w:ilvl w:val="0"/>
          <w:numId w:val="1058"/>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58"/>
        </w:numPr>
      </w:pPr>
      <w:r>
        <w:t xml:space="preserve">Required for products such as NRB and POL if they are to be used as an input to production of composite backscatter (CB) when weighted averages based on the areas are used to generate composite backscatter.</w:t>
      </w:r>
    </w:p>
    <w:bookmarkEnd w:id="172"/>
    <w:bookmarkStart w:id="173" w:name="assessment-32"/>
    <w:p>
      <w:pPr>
        <w:pStyle w:val="berschrift5"/>
      </w:pPr>
      <w:r>
        <w:t xml:space="preserve">Assessment:</w:t>
      </w:r>
    </w:p>
    <w:p>
      <w:pPr>
        <w:pStyle w:val="Compact"/>
        <w:numPr>
          <w:ilvl w:val="0"/>
          <w:numId w:val="1059"/>
        </w:numPr>
      </w:pPr>
      <w:r>
        <w:t xml:space="preserve">Threshold Self-Assessment:</w:t>
      </w:r>
    </w:p>
    <w:p>
      <w:pPr>
        <w:pStyle w:val="Compact"/>
        <w:numPr>
          <w:ilvl w:val="0"/>
          <w:numId w:val="1059"/>
        </w:numPr>
      </w:pPr>
      <w:r>
        <w:t xml:space="preserve">Goal Self-Assessment:</w:t>
      </w:r>
    </w:p>
    <w:p>
      <w:pPr>
        <w:pStyle w:val="Compact"/>
        <w:numPr>
          <w:ilvl w:val="0"/>
          <w:numId w:val="1059"/>
        </w:numPr>
      </w:pPr>
      <w:r>
        <w:t xml:space="preserve">Self-Assessment Explanation/ Justification:</w:t>
      </w:r>
    </w:p>
    <w:p>
      <w:pPr>
        <w:pStyle w:val="Compact"/>
        <w:numPr>
          <w:ilvl w:val="0"/>
          <w:numId w:val="1059"/>
        </w:numPr>
      </w:pPr>
      <w:r>
        <w:t xml:space="preserve">Recommended Requirement Modification:</w:t>
      </w:r>
    </w:p>
    <w:p>
      <w:r>
        <w:pict>
          <v:rect style="width:0;height:1.5pt" o:hralign="center" o:hrstd="t" o:hr="t"/>
        </w:pict>
      </w:r>
    </w:p>
    <w:bookmarkEnd w:id="173"/>
    <w:bookmarkEnd w:id="174"/>
    <w:bookmarkStart w:id="178" w:name="sec:pxl-ploinca"/>
    <w:p>
      <w:pPr>
        <w:pStyle w:val="berschrift4"/>
      </w:pPr>
      <w:r>
        <w:rPr>
          <w:rStyle w:val="VerbatimChar"/>
        </w:rPr>
        <w:t xml:space="preserve">4.4.</w:t>
      </w:r>
      <w:r>
        <w:t xml:space="preserve"> </w:t>
      </w:r>
      <w:r>
        <w:t xml:space="preserve">Local Incident Angle Image</w:t>
      </w:r>
    </w:p>
    <w:p>
      <w:pPr>
        <w:pStyle w:val="FirstParagraph"/>
      </w:pPr>
      <w:r>
        <w:t xml:space="preserve">Identifier:</w:t>
      </w:r>
      <w:r>
        <w:t xml:space="preserve"> </w:t>
      </w:r>
      <w:r>
        <w:rPr>
          <w:rStyle w:val="VerbatimChar"/>
        </w:rPr>
        <w:t xml:space="preserve">pxl-ploinca</w:t>
      </w:r>
    </w:p>
    <w:bookmarkStart w:id="175" w:name="threshold-requirements-33"/>
    <w:p>
      <w:pPr>
        <w:pStyle w:val="berschrift5"/>
      </w:pPr>
      <w:r>
        <w:t xml:space="preserve">Threshold requirements:</w:t>
      </w:r>
    </w:p>
    <w:p>
      <w:pPr>
        <w:pStyle w:val="FirstParagraph"/>
      </w:pPr>
      <w:r>
        <w:t xml:space="preserve">DEM-based Local Incident angle image is provided.</w:t>
      </w:r>
    </w:p>
    <w:p>
      <w:pPr>
        <w:pStyle w:val="Textkrper"/>
      </w:pPr>
      <w:r>
        <w:t xml:space="preserve">File format specifications/contents provided in metadata:</w:t>
      </w:r>
    </w:p>
    <w:p>
      <w:pPr>
        <w:pStyle w:val="Compact"/>
        <w:numPr>
          <w:ilvl w:val="0"/>
          <w:numId w:val="1060"/>
        </w:numPr>
      </w:pPr>
      <w:r>
        <w:t xml:space="preserve">Sample Type (Angle)</w:t>
      </w:r>
    </w:p>
    <w:p>
      <w:pPr>
        <w:pStyle w:val="Compact"/>
        <w:numPr>
          <w:ilvl w:val="0"/>
          <w:numId w:val="1060"/>
        </w:numPr>
      </w:pPr>
      <w:r>
        <w:t xml:space="preserve">Data Format (GeoTIFF, HDF5, NetCDF, …)</w:t>
      </w:r>
    </w:p>
    <w:p>
      <w:pPr>
        <w:pStyle w:val="Compact"/>
        <w:numPr>
          <w:ilvl w:val="0"/>
          <w:numId w:val="1060"/>
        </w:numPr>
      </w:pPr>
      <w:r>
        <w:t xml:space="preserve">Data Type (Int, Float, …)</w:t>
      </w:r>
    </w:p>
    <w:p>
      <w:pPr>
        <w:pStyle w:val="Compact"/>
        <w:numPr>
          <w:ilvl w:val="0"/>
          <w:numId w:val="1060"/>
        </w:numPr>
      </w:pPr>
      <w:r>
        <w:t xml:space="preserve">Bits per Sample</w:t>
      </w:r>
    </w:p>
    <w:p>
      <w:pPr>
        <w:pStyle w:val="Compact"/>
        <w:numPr>
          <w:ilvl w:val="0"/>
          <w:numId w:val="1060"/>
        </w:numPr>
      </w:pPr>
      <w:r>
        <w:t xml:space="preserve">Byte Order</w:t>
      </w:r>
    </w:p>
    <w:p>
      <w:pPr>
        <w:pStyle w:val="FirstParagraph"/>
      </w:pPr>
      <w:r>
        <w:t xml:space="preserve">Notes:</w:t>
      </w:r>
    </w:p>
    <w:p>
      <w:pPr>
        <w:pStyle w:val="Compact"/>
        <w:numPr>
          <w:ilvl w:val="0"/>
          <w:numId w:val="1061"/>
        </w:numPr>
      </w:pPr>
      <w:r>
        <w:t xml:space="preserve">For CEOS-ARD products created from repeat-pass acquisitions, with narrow orbital tube radius, a single static per pixel metadata file can be provided as a URL address of that unique metadata file.</w:t>
      </w:r>
    </w:p>
    <w:p>
      <w:pPr>
        <w:pStyle w:val="Compact"/>
        <w:numPr>
          <w:ilvl w:val="0"/>
          <w:numId w:val="1061"/>
        </w:numPr>
      </w:pPr>
      <w:r>
        <w:t xml:space="preserve">For maritime ORB scenes when no land areas are covered, a geoid model could be used for the calculation of the local incident angle</w:t>
      </w:r>
    </w:p>
    <w:bookmarkEnd w:id="175"/>
    <w:bookmarkStart w:id="176" w:name="goal-requirements-33"/>
    <w:p>
      <w:pPr>
        <w:pStyle w:val="berschrift5"/>
      </w:pPr>
      <w:r>
        <w:t xml:space="preserve">Goal requirements:</w:t>
      </w:r>
    </w:p>
    <w:p>
      <w:pPr>
        <w:pStyle w:val="FirstParagraph"/>
      </w:pPr>
      <w:r>
        <w:t xml:space="preserve">As threshold.</w:t>
      </w:r>
      <w:r>
        <w:t xml:space="preserve"> </w:t>
      </w:r>
    </w:p>
    <w:bookmarkEnd w:id="176"/>
    <w:bookmarkStart w:id="177" w:name="assessment-33"/>
    <w:p>
      <w:pPr>
        <w:pStyle w:val="berschrift5"/>
      </w:pPr>
      <w:r>
        <w:t xml:space="preserve">Assessment:</w:t>
      </w:r>
    </w:p>
    <w:p>
      <w:pPr>
        <w:pStyle w:val="Compact"/>
        <w:numPr>
          <w:ilvl w:val="0"/>
          <w:numId w:val="1062"/>
        </w:numPr>
      </w:pPr>
      <w:r>
        <w:t xml:space="preserve">Threshold Self-Assessment:</w:t>
      </w:r>
    </w:p>
    <w:p>
      <w:pPr>
        <w:pStyle w:val="Compact"/>
        <w:numPr>
          <w:ilvl w:val="0"/>
          <w:numId w:val="1062"/>
        </w:numPr>
      </w:pPr>
      <w:r>
        <w:t xml:space="preserve">Goal Self-Assessment:</w:t>
      </w:r>
    </w:p>
    <w:p>
      <w:pPr>
        <w:pStyle w:val="Compact"/>
        <w:numPr>
          <w:ilvl w:val="0"/>
          <w:numId w:val="1062"/>
        </w:numPr>
      </w:pPr>
      <w:r>
        <w:t xml:space="preserve">Self-Assessment Explanation/ Justification:</w:t>
      </w:r>
    </w:p>
    <w:p>
      <w:pPr>
        <w:pStyle w:val="Compact"/>
        <w:numPr>
          <w:ilvl w:val="0"/>
          <w:numId w:val="1062"/>
        </w:numPr>
      </w:pPr>
      <w:r>
        <w:t xml:space="preserve">Recommended Requirement Modification:</w:t>
      </w:r>
    </w:p>
    <w:p>
      <w:r>
        <w:pict>
          <v:rect style="width:0;height:1.5pt" o:hralign="center" o:hrstd="t" o:hr="t"/>
        </w:pict>
      </w:r>
    </w:p>
    <w:bookmarkEnd w:id="177"/>
    <w:bookmarkEnd w:id="178"/>
    <w:bookmarkStart w:id="182" w:name="sec:pxl-pelinca"/>
    <w:p>
      <w:pPr>
        <w:pStyle w:val="berschrift4"/>
      </w:pPr>
      <w:r>
        <w:rPr>
          <w:rStyle w:val="VerbatimChar"/>
        </w:rPr>
        <w:t xml:space="preserve">4.5.</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179" w:name="threshold-requirements-34"/>
    <w:p>
      <w:pPr>
        <w:pStyle w:val="berschrift5"/>
      </w:pPr>
      <w:r>
        <w:t xml:space="preserve">Threshold requirements:</w:t>
      </w:r>
    </w:p>
    <w:p>
      <w:pPr>
        <w:pStyle w:val="FirstParagraph"/>
      </w:pPr>
      <w:r>
        <w:t xml:space="preserve">Not required.</w:t>
      </w:r>
      <w:r>
        <w:t xml:space="preserve"> </w:t>
      </w:r>
    </w:p>
    <w:bookmarkEnd w:id="179"/>
    <w:bookmarkStart w:id="180" w:name="goal-requirements-34"/>
    <w:p>
      <w:pPr>
        <w:pStyle w:val="berschrift5"/>
      </w:pPr>
      <w:r>
        <w:t xml:space="preserve">Goal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63"/>
        </w:numPr>
      </w:pPr>
      <w:r>
        <w:t xml:space="preserve">Sample Type (Angle)</w:t>
      </w:r>
    </w:p>
    <w:p>
      <w:pPr>
        <w:pStyle w:val="Compact"/>
        <w:numPr>
          <w:ilvl w:val="0"/>
          <w:numId w:val="1063"/>
        </w:numPr>
      </w:pPr>
      <w:r>
        <w:t xml:space="preserve">Data Format (GeoTIFF, HDF5, NetCDF, …)</w:t>
      </w:r>
    </w:p>
    <w:p>
      <w:pPr>
        <w:pStyle w:val="Compact"/>
        <w:numPr>
          <w:ilvl w:val="0"/>
          <w:numId w:val="1063"/>
        </w:numPr>
      </w:pPr>
      <w:r>
        <w:t xml:space="preserve">Data Type (Int, Float, …)</w:t>
      </w:r>
    </w:p>
    <w:p>
      <w:pPr>
        <w:pStyle w:val="Compact"/>
        <w:numPr>
          <w:ilvl w:val="0"/>
          <w:numId w:val="1063"/>
        </w:numPr>
      </w:pPr>
      <w:r>
        <w:t xml:space="preserve">Bits per Sample</w:t>
      </w:r>
    </w:p>
    <w:p>
      <w:pPr>
        <w:pStyle w:val="Compact"/>
        <w:numPr>
          <w:ilvl w:val="0"/>
          <w:numId w:val="1063"/>
        </w:numPr>
      </w:pPr>
      <w:r>
        <w:t xml:space="preserve">Byte Order</w:t>
      </w:r>
    </w:p>
    <w:p>
      <w:pPr>
        <w:pStyle w:val="Compact"/>
        <w:numPr>
          <w:ilvl w:val="0"/>
          <w:numId w:val="1063"/>
        </w:numPr>
      </w:pPr>
      <w:r>
        <w:t xml:space="preserve">Reference Ellipsoid Name</w:t>
      </w:r>
    </w:p>
    <w:p>
      <w:pPr>
        <w:pStyle w:val="FirstParagraph"/>
      </w:pPr>
      <w:r>
        <w:t xml:space="preserve">Notes:</w:t>
      </w:r>
    </w:p>
    <w:p>
      <w:pPr>
        <w:pStyle w:val="Compact"/>
        <w:numPr>
          <w:ilvl w:val="0"/>
          <w:numId w:val="1064"/>
        </w:numPr>
      </w:pPr>
      <w:r>
        <w:t xml:space="preserve">For CEOS-ARD products created from repeat-pass acquisitions, with narrow orbital tube radius, a single static per pixel metadata file can be provided as a URL address of that unique metadata file.</w:t>
      </w:r>
    </w:p>
    <w:p>
      <w:pPr>
        <w:pStyle w:val="Compact"/>
        <w:numPr>
          <w:ilvl w:val="0"/>
          <w:numId w:val="1064"/>
        </w:numPr>
      </w:pPr>
      <w:r>
        <w:t xml:space="preserve">For maritime ORB scenes when no land areas are covered, the ellipsoidal incident angle is nearly identical to the geod based local incident angle</w:t>
      </w:r>
    </w:p>
    <w:bookmarkEnd w:id="180"/>
    <w:bookmarkStart w:id="181" w:name="assessment-34"/>
    <w:p>
      <w:pPr>
        <w:pStyle w:val="berschrift5"/>
      </w:pPr>
      <w:r>
        <w:t xml:space="preserve">Assessment:</w:t>
      </w:r>
    </w:p>
    <w:p>
      <w:pPr>
        <w:pStyle w:val="Compact"/>
        <w:numPr>
          <w:ilvl w:val="0"/>
          <w:numId w:val="1065"/>
        </w:numPr>
      </w:pPr>
      <w:r>
        <w:t xml:space="preserve">Threshold Self-Assessment:</w:t>
      </w:r>
    </w:p>
    <w:p>
      <w:pPr>
        <w:pStyle w:val="Compact"/>
        <w:numPr>
          <w:ilvl w:val="0"/>
          <w:numId w:val="1065"/>
        </w:numPr>
      </w:pPr>
      <w:r>
        <w:t xml:space="preserve">Goal Self-Assessment:</w:t>
      </w:r>
    </w:p>
    <w:p>
      <w:pPr>
        <w:pStyle w:val="Compact"/>
        <w:numPr>
          <w:ilvl w:val="0"/>
          <w:numId w:val="1065"/>
        </w:numPr>
      </w:pPr>
      <w:r>
        <w:t xml:space="preserve">Self-Assessment Explanation/ Justification:</w:t>
      </w:r>
    </w:p>
    <w:p>
      <w:pPr>
        <w:pStyle w:val="Compact"/>
        <w:numPr>
          <w:ilvl w:val="0"/>
          <w:numId w:val="1065"/>
        </w:numPr>
      </w:pPr>
      <w:r>
        <w:t xml:space="preserve">Recommended Requirement Modification:</w:t>
      </w:r>
    </w:p>
    <w:p>
      <w:r>
        <w:pict>
          <v:rect style="width:0;height:1.5pt" o:hralign="center" o:hrstd="t" o:hr="t"/>
        </w:pict>
      </w:r>
    </w:p>
    <w:bookmarkEnd w:id="181"/>
    <w:bookmarkEnd w:id="182"/>
    <w:bookmarkStart w:id="186" w:name="sec:pxl-pinopow"/>
    <w:p>
      <w:pPr>
        <w:pStyle w:val="berschrift4"/>
      </w:pPr>
      <w:r>
        <w:rPr>
          <w:rStyle w:val="VerbatimChar"/>
        </w:rPr>
        <w:t xml:space="preserve">4.6.</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83" w:name="threshold-requirements-35"/>
    <w:p>
      <w:pPr>
        <w:pStyle w:val="berschrift5"/>
      </w:pPr>
      <w:r>
        <w:t xml:space="preserve">Threshold requirements:</w:t>
      </w:r>
    </w:p>
    <w:p>
      <w:pPr>
        <w:pStyle w:val="FirstParagraph"/>
      </w:pPr>
      <w:r>
        <w:t xml:space="preserve">Not required.</w:t>
      </w:r>
      <w:r>
        <w:t xml:space="preserve"> </w:t>
      </w:r>
    </w:p>
    <w:bookmarkEnd w:id="183"/>
    <w:bookmarkStart w:id="184" w:name="goal-requirements-35"/>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66"/>
        </w:numPr>
      </w:pPr>
      <w:r>
        <w:t xml:space="preserve">Sample Type (Gamma-Nought, Sigma-Nought, Beta-Nought)</w:t>
      </w:r>
    </w:p>
    <w:p>
      <w:pPr>
        <w:pStyle w:val="Compact"/>
        <w:numPr>
          <w:ilvl w:val="0"/>
          <w:numId w:val="1066"/>
        </w:numPr>
      </w:pPr>
      <w:r>
        <w:t xml:space="preserve">Correction model type (Ellipsoid, Topography)</w:t>
      </w:r>
    </w:p>
    <w:p>
      <w:pPr>
        <w:pStyle w:val="Compact"/>
        <w:numPr>
          <w:ilvl w:val="0"/>
          <w:numId w:val="1066"/>
        </w:numPr>
      </w:pPr>
      <w:r>
        <w:t xml:space="preserve">Data Format (GeoTIFF, HDF5, NetCDF, …)</w:t>
      </w:r>
    </w:p>
    <w:p>
      <w:pPr>
        <w:pStyle w:val="Compact"/>
        <w:numPr>
          <w:ilvl w:val="0"/>
          <w:numId w:val="1066"/>
        </w:numPr>
      </w:pPr>
      <w:r>
        <w:t xml:space="preserve">Data Type (Int, Float, …)</w:t>
      </w:r>
    </w:p>
    <w:p>
      <w:pPr>
        <w:pStyle w:val="Compact"/>
        <w:numPr>
          <w:ilvl w:val="0"/>
          <w:numId w:val="1066"/>
        </w:numPr>
      </w:pPr>
      <w:r>
        <w:t xml:space="preserve">Bits per Sample</w:t>
      </w:r>
    </w:p>
    <w:p>
      <w:pPr>
        <w:pStyle w:val="Compact"/>
        <w:numPr>
          <w:ilvl w:val="0"/>
          <w:numId w:val="1066"/>
        </w:numPr>
      </w:pPr>
      <w:r>
        <w:t xml:space="preserve">Byte Order</w:t>
      </w:r>
    </w:p>
    <w:bookmarkEnd w:id="184"/>
    <w:bookmarkStart w:id="185" w:name="assessment-35"/>
    <w:p>
      <w:pPr>
        <w:pStyle w:val="berschrift5"/>
      </w:pPr>
      <w:r>
        <w:t xml:space="preserve">Assessment:</w:t>
      </w:r>
    </w:p>
    <w:p>
      <w:pPr>
        <w:pStyle w:val="Compact"/>
        <w:numPr>
          <w:ilvl w:val="0"/>
          <w:numId w:val="1067"/>
        </w:numPr>
      </w:pPr>
      <w:r>
        <w:t xml:space="preserve">Threshold Self-Assessment:</w:t>
      </w:r>
    </w:p>
    <w:p>
      <w:pPr>
        <w:pStyle w:val="Compact"/>
        <w:numPr>
          <w:ilvl w:val="0"/>
          <w:numId w:val="1067"/>
        </w:numPr>
      </w:pPr>
      <w:r>
        <w:t xml:space="preserve">Goal Self-Assessment:</w:t>
      </w:r>
    </w:p>
    <w:p>
      <w:pPr>
        <w:pStyle w:val="Compact"/>
        <w:numPr>
          <w:ilvl w:val="0"/>
          <w:numId w:val="1067"/>
        </w:numPr>
      </w:pPr>
      <w:r>
        <w:t xml:space="preserve">Self-Assessment Explanation/ Justification:</w:t>
      </w:r>
    </w:p>
    <w:p>
      <w:pPr>
        <w:pStyle w:val="Compact"/>
        <w:numPr>
          <w:ilvl w:val="0"/>
          <w:numId w:val="1067"/>
        </w:numPr>
      </w:pPr>
      <w:r>
        <w:t xml:space="preserve">Recommended Requirement Modification:</w:t>
      </w:r>
    </w:p>
    <w:p>
      <w:r>
        <w:pict>
          <v:rect style="width:0;height:1.5pt" o:hralign="center" o:hrstd="t" o:hr="t"/>
        </w:pict>
      </w:r>
    </w:p>
    <w:bookmarkEnd w:id="185"/>
    <w:bookmarkEnd w:id="186"/>
    <w:bookmarkStart w:id="190" w:name="sec:pxl-pacqidm"/>
    <w:p>
      <w:pPr>
        <w:pStyle w:val="berschrift4"/>
      </w:pPr>
      <w:r>
        <w:rPr>
          <w:rStyle w:val="VerbatimChar"/>
        </w:rPr>
        <w:t xml:space="preserve">4.7.</w:t>
      </w:r>
      <w:r>
        <w:t xml:space="preserve"> </w:t>
      </w:r>
      <w:r>
        <w:t xml:space="preserve">Acquisition ID Image</w:t>
      </w:r>
    </w:p>
    <w:p>
      <w:pPr>
        <w:pStyle w:val="FirstParagraph"/>
      </w:pPr>
      <w:r>
        <w:t xml:space="preserve">Identifier:</w:t>
      </w:r>
      <w:r>
        <w:t xml:space="preserve"> </w:t>
      </w:r>
      <w:r>
        <w:rPr>
          <w:rStyle w:val="VerbatimChar"/>
        </w:rPr>
        <w:t xml:space="preserve">pxl-pacqidm</w:t>
      </w:r>
    </w:p>
    <w:p>
      <w:pPr>
        <w:pStyle w:val="Textkrper"/>
      </w:pPr>
      <w:r>
        <w:rPr>
          <w:b/>
          <w:bCs/>
        </w:rPr>
        <w:t xml:space="preserve">Usage:</w:t>
      </w:r>
      <w:r>
        <w:t xml:space="preserve"> </w:t>
      </w:r>
      <w:r>
        <w:t xml:space="preserve">Required for mosaic products only.</w:t>
      </w:r>
    </w:p>
    <w:bookmarkStart w:id="187" w:name="threshold-requirements-36"/>
    <w:p>
      <w:pPr>
        <w:pStyle w:val="berschrift5"/>
      </w:pPr>
      <w:r>
        <w:t xml:space="preserve">Threshold requirements:</w:t>
      </w:r>
    </w:p>
    <w:p>
      <w:pPr>
        <w:pStyle w:val="FirstParagraph"/>
      </w:pPr>
      <w:r>
        <w:t xml:space="preserve">Acquisition ID, or acquisition date, for each pixel is identified.</w:t>
      </w:r>
    </w:p>
    <w:p>
      <w:pPr>
        <w:pStyle w:val="Textkrper"/>
      </w:pPr>
      <w:r>
        <w:t xml:space="preserve">In case of multi-temporal image stacks, use source acquisition ID (i.e.,</w:t>
      </w:r>
      <w:r>
        <w:t xml:space="preserve"> </w:t>
      </w:r>
      <w:hyperlink w:anchor="sec:src-macqid">
        <w:r>
          <w:rPr>
            <w:rStyle w:val="Hyperlink"/>
          </w:rPr>
          <w:t xml:space="preserve">Source Metadata: Acquisition ID</w:t>
        </w:r>
      </w:hyperlink>
      <w:r>
        <w:t xml:space="preserve">) to list contributing images.</w:t>
      </w:r>
    </w:p>
    <w:p>
      <w:pPr>
        <w:pStyle w:val="Textkrper"/>
      </w:pPr>
      <w:r>
        <w:t xml:space="preserve">In case of date, data represent (integer or fractional) day offset to reference observation date (in UTC). Date used as reference (“Day 0”) is provided in the metadata.</w:t>
      </w:r>
    </w:p>
    <w:p>
      <w:pPr>
        <w:pStyle w:val="Textkrper"/>
      </w:pPr>
      <w:r>
        <w:t xml:space="preserve">Pixels not representing a unique date or ID (e.g., pixels averaged in image overlap zones) are flagged with a pixel value referencing a date range that is provided in the metadata.</w:t>
      </w:r>
    </w:p>
    <w:p>
      <w:pPr>
        <w:pStyle w:val="Textkrper"/>
      </w:pPr>
      <w:r>
        <w:t xml:space="preserve">File format specifications/contents provided in metadata:</w:t>
      </w:r>
    </w:p>
    <w:p>
      <w:pPr>
        <w:pStyle w:val="Compact"/>
        <w:numPr>
          <w:ilvl w:val="0"/>
          <w:numId w:val="1068"/>
        </w:numPr>
      </w:pPr>
      <w:r>
        <w:t xml:space="preserve">Sample type (Day, Time, ID)</w:t>
      </w:r>
    </w:p>
    <w:p>
      <w:pPr>
        <w:pStyle w:val="Compact"/>
        <w:numPr>
          <w:ilvl w:val="0"/>
          <w:numId w:val="1068"/>
        </w:numPr>
      </w:pPr>
      <w:r>
        <w:t xml:space="preserve">Data Format (GeoTIFF, HDF5, NetCDF, …)</w:t>
      </w:r>
    </w:p>
    <w:p>
      <w:pPr>
        <w:pStyle w:val="Compact"/>
        <w:numPr>
          <w:ilvl w:val="0"/>
          <w:numId w:val="1068"/>
        </w:numPr>
      </w:pPr>
      <w:r>
        <w:t xml:space="preserve">Data Type (Int, Float, …)</w:t>
      </w:r>
    </w:p>
    <w:p>
      <w:pPr>
        <w:pStyle w:val="Compact"/>
        <w:numPr>
          <w:ilvl w:val="0"/>
          <w:numId w:val="1068"/>
        </w:numPr>
      </w:pPr>
      <w:r>
        <w:t xml:space="preserve">Bits per sample</w:t>
      </w:r>
    </w:p>
    <w:p>
      <w:pPr>
        <w:pStyle w:val="Compact"/>
        <w:numPr>
          <w:ilvl w:val="0"/>
          <w:numId w:val="1068"/>
        </w:numPr>
      </w:pPr>
      <w:r>
        <w:t xml:space="preserve">Byte Order</w:t>
      </w:r>
    </w:p>
    <w:bookmarkEnd w:id="187"/>
    <w:bookmarkStart w:id="188" w:name="goal-requirements-36"/>
    <w:p>
      <w:pPr>
        <w:pStyle w:val="berschrift5"/>
      </w:pPr>
      <w:r>
        <w:t xml:space="preserve">Goal requirements:</w:t>
      </w:r>
    </w:p>
    <w:p>
      <w:pPr>
        <w:pStyle w:val="FirstParagraph"/>
      </w:pPr>
      <w:r>
        <w:t xml:space="preserve">As threshold.</w:t>
      </w:r>
      <w:r>
        <w:t xml:space="preserve"> </w:t>
      </w:r>
    </w:p>
    <w:bookmarkEnd w:id="188"/>
    <w:bookmarkStart w:id="189" w:name="assessment-36"/>
    <w:p>
      <w:pPr>
        <w:pStyle w:val="berschrift5"/>
      </w:pPr>
      <w:r>
        <w:t xml:space="preserve">Assessment:</w:t>
      </w:r>
    </w:p>
    <w:p>
      <w:pPr>
        <w:pStyle w:val="Compact"/>
        <w:numPr>
          <w:ilvl w:val="0"/>
          <w:numId w:val="1069"/>
        </w:numPr>
      </w:pPr>
      <w:r>
        <w:t xml:space="preserve">Threshold Self-Assessment:</w:t>
      </w:r>
    </w:p>
    <w:p>
      <w:pPr>
        <w:pStyle w:val="Compact"/>
        <w:numPr>
          <w:ilvl w:val="0"/>
          <w:numId w:val="1069"/>
        </w:numPr>
      </w:pPr>
      <w:r>
        <w:t xml:space="preserve">Goal Self-Assessment:</w:t>
      </w:r>
    </w:p>
    <w:p>
      <w:pPr>
        <w:pStyle w:val="Compact"/>
        <w:numPr>
          <w:ilvl w:val="0"/>
          <w:numId w:val="1069"/>
        </w:numPr>
      </w:pPr>
      <w:r>
        <w:t xml:space="preserve">Self-Assessment Explanation/ Justification:</w:t>
      </w:r>
    </w:p>
    <w:p>
      <w:pPr>
        <w:pStyle w:val="Compact"/>
        <w:numPr>
          <w:ilvl w:val="0"/>
          <w:numId w:val="1069"/>
        </w:numPr>
      </w:pPr>
      <w:r>
        <w:t xml:space="preserve">Recommended Requirement Modification:</w:t>
      </w:r>
    </w:p>
    <w:p>
      <w:r>
        <w:pict>
          <v:rect style="width:0;height:1.5pt" o:hralign="center" o:hrstd="t" o:hr="t"/>
        </w:pict>
      </w:r>
    </w:p>
    <w:bookmarkEnd w:id="189"/>
    <w:bookmarkEnd w:id="190"/>
    <w:bookmarkStart w:id="194" w:name="sec:pxl-pigeoid"/>
    <w:p>
      <w:pPr>
        <w:pStyle w:val="berschrift4"/>
      </w:pPr>
      <w:r>
        <w:rPr>
          <w:rStyle w:val="VerbatimChar"/>
        </w:rPr>
        <w:t xml:space="preserve">4.8.</w:t>
      </w:r>
      <w:r>
        <w:t xml:space="preserve"> </w:t>
      </w:r>
      <w:r>
        <w:t xml:space="preserve">Per-Pixel Geoid</w:t>
      </w:r>
    </w:p>
    <w:p>
      <w:pPr>
        <w:pStyle w:val="FirstParagraph"/>
      </w:pPr>
      <w:r>
        <w:t xml:space="preserve">Identifier:</w:t>
      </w:r>
      <w:r>
        <w:t xml:space="preserve"> </w:t>
      </w:r>
      <w:r>
        <w:rPr>
          <w:rStyle w:val="VerbatimChar"/>
        </w:rPr>
        <w:t xml:space="preserve">pxl-pigeoid</w:t>
      </w:r>
    </w:p>
    <w:bookmarkStart w:id="191" w:name="threshold-requirements-37"/>
    <w:p>
      <w:pPr>
        <w:pStyle w:val="berschrift5"/>
      </w:pPr>
      <w:r>
        <w:t xml:space="preserve">Threshold requirements:</w:t>
      </w:r>
    </w:p>
    <w:p>
      <w:pPr>
        <w:pStyle w:val="FirstParagraph"/>
      </w:pPr>
      <w:r>
        <w:t xml:space="preserve">Not required.</w:t>
      </w:r>
      <w:r>
        <w:t xml:space="preserve"> </w:t>
      </w:r>
    </w:p>
    <w:bookmarkEnd w:id="191"/>
    <w:bookmarkStart w:id="192" w:name="goal-requirements-37"/>
    <w:p>
      <w:pPr>
        <w:pStyle w:val="berschrift5"/>
      </w:pPr>
      <w:r>
        <w:t xml:space="preserve">Goal requirements:</w:t>
      </w:r>
    </w:p>
    <w:p>
      <w:pPr>
        <w:pStyle w:val="FirstParagraph"/>
      </w:pPr>
      <w:r>
        <w:t xml:space="preserve">Provide Geoid as used during the geometric and radiometric processing of the SAR data, resampled to an exact geometric match in extent and resolution with the CEOS-ARD image product.</w:t>
      </w:r>
    </w:p>
    <w:p>
      <w:pPr>
        <w:pStyle w:val="Textkrper"/>
      </w:pPr>
      <w:r>
        <w:t xml:space="preserve">File format specifications/contents provided in metadata:</w:t>
      </w:r>
    </w:p>
    <w:p>
      <w:pPr>
        <w:pStyle w:val="Compact"/>
        <w:numPr>
          <w:ilvl w:val="0"/>
          <w:numId w:val="1070"/>
        </w:numPr>
      </w:pPr>
      <w:r>
        <w:t xml:space="preserve">Sample Type (Height)</w:t>
      </w:r>
    </w:p>
    <w:p>
      <w:pPr>
        <w:pStyle w:val="Compact"/>
        <w:numPr>
          <w:ilvl w:val="0"/>
          <w:numId w:val="1070"/>
        </w:numPr>
      </w:pPr>
      <w:r>
        <w:t xml:space="preserve">Data Format (GeoTIFF, HDF5, NetCDF, …)</w:t>
      </w:r>
    </w:p>
    <w:p>
      <w:pPr>
        <w:pStyle w:val="Compact"/>
        <w:numPr>
          <w:ilvl w:val="0"/>
          <w:numId w:val="1070"/>
        </w:numPr>
      </w:pPr>
      <w:r>
        <w:t xml:space="preserve">Data Type (Int, Float, …)</w:t>
      </w:r>
    </w:p>
    <w:p>
      <w:pPr>
        <w:pStyle w:val="Compact"/>
        <w:numPr>
          <w:ilvl w:val="0"/>
          <w:numId w:val="1070"/>
        </w:numPr>
      </w:pPr>
      <w:r>
        <w:t xml:space="preserve">Bits per Sample</w:t>
      </w:r>
    </w:p>
    <w:p>
      <w:pPr>
        <w:pStyle w:val="Compact"/>
        <w:numPr>
          <w:ilvl w:val="0"/>
          <w:numId w:val="1070"/>
        </w:numPr>
      </w:pPr>
      <w:r>
        <w:t xml:space="preserve">Byte Order</w:t>
      </w:r>
    </w:p>
    <w:p>
      <w:pPr>
        <w:pStyle w:val="Compact"/>
        <w:numPr>
          <w:ilvl w:val="0"/>
          <w:numId w:val="1070"/>
        </w:numPr>
      </w:pPr>
      <w:r>
        <w:t xml:space="preserve">Ground Sampling Distance</w:t>
      </w:r>
    </w:p>
    <w:bookmarkEnd w:id="192"/>
    <w:bookmarkStart w:id="193" w:name="assessment-37"/>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3"/>
    <w:bookmarkEnd w:id="194"/>
    <w:bookmarkStart w:id="198" w:name="sec:pxl-lookdiri"/>
    <w:p>
      <w:pPr>
        <w:pStyle w:val="berschrift4"/>
      </w:pPr>
      <w:r>
        <w:rPr>
          <w:rStyle w:val="VerbatimChar"/>
        </w:rPr>
        <w:t xml:space="preserve">4.9.</w:t>
      </w:r>
      <w:r>
        <w:t xml:space="preserve"> </w:t>
      </w:r>
      <w:r>
        <w:t xml:space="preserve">Look Direction Image</w:t>
      </w:r>
    </w:p>
    <w:p>
      <w:pPr>
        <w:pStyle w:val="FirstParagraph"/>
      </w:pPr>
      <w:r>
        <w:t xml:space="preserve">Identifier:</w:t>
      </w:r>
      <w:r>
        <w:t xml:space="preserve"> </w:t>
      </w:r>
      <w:r>
        <w:rPr>
          <w:rStyle w:val="VerbatimChar"/>
        </w:rPr>
        <w:t xml:space="preserve">pxl-lookdiri</w:t>
      </w:r>
    </w:p>
    <w:bookmarkStart w:id="195" w:name="threshold-requirements-38"/>
    <w:p>
      <w:pPr>
        <w:pStyle w:val="berschrift5"/>
      </w:pPr>
      <w:r>
        <w:t xml:space="preserve">Threshold requirements:</w:t>
      </w:r>
    </w:p>
    <w:p>
      <w:pPr>
        <w:pStyle w:val="FirstParagraph"/>
      </w:pPr>
      <w:r>
        <w:t xml:space="preserve">Not required.</w:t>
      </w:r>
      <w:r>
        <w:t xml:space="preserve"> </w:t>
      </w:r>
    </w:p>
    <w:bookmarkEnd w:id="195"/>
    <w:bookmarkStart w:id="196" w:name="goal-requirements-38"/>
    <w:p>
      <w:pPr>
        <w:pStyle w:val="berschrift5"/>
      </w:pPr>
      <w:r>
        <w:t xml:space="preserve">Goal requirements:</w:t>
      </w:r>
    </w:p>
    <w:p>
      <w:pPr>
        <w:pStyle w:val="FirstParagraph"/>
      </w:pPr>
      <w:r>
        <w:t xml:space="preserve">Look Direction Image is provided.</w:t>
      </w:r>
      <w:r>
        <w:t xml:space="preserve"> </w:t>
      </w:r>
      <w:r>
        <w:t xml:space="preserve">It represents the planar angle between north and each range direction.</w:t>
      </w:r>
    </w:p>
    <w:p>
      <w:pPr>
        <w:pStyle w:val="Textkrper"/>
      </w:pPr>
      <w:r>
        <w:t xml:space="preserve">File format specifications/contents provided in metadata:</w:t>
      </w:r>
    </w:p>
    <w:p>
      <w:pPr>
        <w:pStyle w:val="Compact"/>
        <w:numPr>
          <w:ilvl w:val="0"/>
          <w:numId w:val="1072"/>
        </w:numPr>
      </w:pPr>
      <w:r>
        <w:t xml:space="preserve">Sample Type (Angle)</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p>
      <w:pPr>
        <w:pStyle w:val="FirstParagraph"/>
      </w:pPr>
      <w:r>
        <w:t xml:space="preserve">Note:</w:t>
      </w:r>
    </w:p>
    <w:p>
      <w:pPr>
        <w:pStyle w:val="Compact"/>
        <w:numPr>
          <w:ilvl w:val="0"/>
          <w:numId w:val="1073"/>
        </w:numPr>
      </w:pPr>
      <w:r>
        <w:t xml:space="preserve">For CEOS-ARD products created from repeat-pass acquisitions, with narrow orbital tube radius, a single static per pixel metadata file can be provided as a URL address of that unique metadata file.</w:t>
      </w:r>
    </w:p>
    <w:bookmarkEnd w:id="196"/>
    <w:bookmarkStart w:id="197" w:name="assessment-38"/>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bookmarkEnd w:id="197"/>
    <w:bookmarkEnd w:id="198"/>
    <w:bookmarkEnd w:id="199"/>
    <w:bookmarkStart w:id="220"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03" w:name="sec:rcm-backsca-orb"/>
    <w:p>
      <w:pPr>
        <w:pStyle w:val="berschrift4"/>
      </w:pPr>
      <w:r>
        <w:rPr>
          <w:rStyle w:val="VerbatimChar"/>
        </w:rPr>
        <w:t xml:space="preserve">5.1.</w:t>
      </w:r>
      <w:r>
        <w:t xml:space="preserve"> </w:t>
      </w:r>
      <w:r>
        <w:t xml:space="preserve">Backscatter Measurements (ORB)</w:t>
      </w:r>
    </w:p>
    <w:p>
      <w:pPr>
        <w:pStyle w:val="FirstParagraph"/>
      </w:pPr>
      <w:r>
        <w:t xml:space="preserve">Identifier:</w:t>
      </w:r>
      <w:r>
        <w:t xml:space="preserve"> </w:t>
      </w:r>
      <w:r>
        <w:rPr>
          <w:rStyle w:val="VerbatimChar"/>
        </w:rPr>
        <w:t xml:space="preserve">rcm-backsca-orb</w:t>
      </w:r>
    </w:p>
    <w:bookmarkStart w:id="200" w:name="threshold-requirements-39"/>
    <w:p>
      <w:pPr>
        <w:pStyle w:val="berschrift5"/>
      </w:pPr>
      <w:r>
        <w:t xml:space="preserve">Threshold requirements:</w:t>
      </w:r>
    </w:p>
    <w:p>
      <w:pPr>
        <w:pStyle w:val="FirstParagraph"/>
      </w:pPr>
      <w:r>
        <w:t xml:space="preserve">Geoid-corrected Sigma-Nought backscatter coefficient (</w:t>
      </w:r>
      <m:oMath>
        <m:sSup>
          <m:e>
            <m:r>
              <m:t>σ</m:t>
            </m:r>
          </m:e>
          <m:sup>
            <m:r>
              <m:t>0</m:t>
            </m:r>
          </m:sup>
        </m:sSup>
      </m:oMath>
      <w:r>
        <w:t xml:space="preserve">) is provided for each polarization.</w:t>
      </w:r>
    </w:p>
    <w:p>
      <w:pPr>
        <w:pStyle w:val="Textkrper"/>
      </w:pPr>
      <w:r>
        <w:t xml:space="preserve">File format specifications/contents provided in metadata:</w:t>
      </w:r>
    </w:p>
    <w:p>
      <w:pPr>
        <w:pStyle w:val="Compact"/>
        <w:numPr>
          <w:ilvl w:val="0"/>
          <w:numId w:val="1075"/>
        </w:numPr>
      </w:pPr>
      <w:r>
        <w:t xml:space="preserve">Measurement Type (Sigma-Nought)</w:t>
      </w:r>
    </w:p>
    <w:p>
      <w:pPr>
        <w:pStyle w:val="Compact"/>
        <w:numPr>
          <w:ilvl w:val="0"/>
          <w:numId w:val="1075"/>
        </w:numPr>
      </w:pPr>
      <w:r>
        <w:t xml:space="preserve">Backscatter Expression Convention (linear amplitude, or linear power [see note])</w:t>
      </w:r>
    </w:p>
    <w:p>
      <w:pPr>
        <w:pStyle w:val="Compact"/>
        <w:numPr>
          <w:ilvl w:val="0"/>
          <w:numId w:val="1075"/>
        </w:numPr>
      </w:pPr>
      <w:r>
        <w:t xml:space="preserve">Polarization (HH, HV, VV, VH)</w:t>
      </w:r>
    </w:p>
    <w:p>
      <w:pPr>
        <w:pStyle w:val="Compact"/>
        <w:numPr>
          <w:ilvl w:val="0"/>
          <w:numId w:val="1075"/>
        </w:numPr>
      </w:pPr>
      <w:r>
        <w:t xml:space="preserve">Data Format (GeoTIFF, HDF5, NetCDF, …)</w:t>
      </w:r>
    </w:p>
    <w:p>
      <w:pPr>
        <w:pStyle w:val="Compact"/>
        <w:numPr>
          <w:ilvl w:val="0"/>
          <w:numId w:val="1075"/>
        </w:numPr>
      </w:pPr>
      <w:r>
        <w:t xml:space="preserve">Data Type (Int, Float, …)</w:t>
      </w:r>
    </w:p>
    <w:p>
      <w:pPr>
        <w:pStyle w:val="Compact"/>
        <w:numPr>
          <w:ilvl w:val="0"/>
          <w:numId w:val="1075"/>
        </w:numPr>
      </w:pPr>
      <w:r>
        <w:t xml:space="preserve">Bits per Sample</w:t>
      </w:r>
    </w:p>
    <w:p>
      <w:pPr>
        <w:pStyle w:val="Compact"/>
        <w:numPr>
          <w:ilvl w:val="0"/>
          <w:numId w:val="1075"/>
        </w:numPr>
      </w:pPr>
      <w:r>
        <w:t xml:space="preserve">Byte Order</w:t>
      </w:r>
    </w:p>
    <w:p>
      <w:pPr>
        <w:pStyle w:val="FirstParagraph"/>
      </w:pPr>
      <w:r>
        <w:t xml:space="preserve">Note:</w:t>
      </w:r>
    </w:p>
    <w:p>
      <w:pPr>
        <w:pStyle w:val="Compact"/>
        <w:numPr>
          <w:ilvl w:val="0"/>
          <w:numId w:val="1076"/>
        </w:numPr>
      </w:pPr>
      <w:r>
        <w:t xml:space="preserve">Transformation to the logarithm decibel scale is not required or desired as this step can be completed by the user if necessary.</w:t>
      </w:r>
    </w:p>
    <w:bookmarkEnd w:id="200"/>
    <w:bookmarkStart w:id="201" w:name="goal-requirements-39"/>
    <w:p>
      <w:pPr>
        <w:pStyle w:val="berschrift5"/>
      </w:pPr>
      <w:r>
        <w:t xml:space="preserve">Goal requirements:</w:t>
      </w:r>
    </w:p>
    <w:p>
      <w:pPr>
        <w:pStyle w:val="FirstParagraph"/>
      </w:pPr>
      <w:r>
        <w:t xml:space="preserve">Radiometrically Terrain-corrected Sigma-Nought backscatter coefficient (</w:t>
      </w:r>
      <m:oMath>
        <m:sSubSup>
          <m:e>
            <m:r>
              <m:t>σ</m:t>
            </m:r>
          </m:e>
          <m:sub>
            <m:r>
              <m:t>T</m:t>
            </m:r>
          </m:sub>
          <m:sup>
            <m:r>
              <m:t>0</m:t>
            </m:r>
          </m:sup>
        </m:sSubSup>
      </m:oMath>
      <w:r>
        <w:t xml:space="preserve">) is provided for each polarization.</w:t>
      </w:r>
    </w:p>
    <w:bookmarkEnd w:id="201"/>
    <w:bookmarkStart w:id="202" w:name="assessment-39"/>
    <w:p>
      <w:pPr>
        <w:pStyle w:val="berschrift5"/>
      </w:pPr>
      <w:r>
        <w:t xml:space="preserve">Assessment:</w:t>
      </w:r>
    </w:p>
    <w:p>
      <w:pPr>
        <w:pStyle w:val="Compact"/>
        <w:numPr>
          <w:ilvl w:val="0"/>
          <w:numId w:val="1077"/>
        </w:numPr>
      </w:pPr>
      <w:r>
        <w:t xml:space="preserve">Threshold Self-Assessment:</w:t>
      </w:r>
    </w:p>
    <w:p>
      <w:pPr>
        <w:pStyle w:val="Compact"/>
        <w:numPr>
          <w:ilvl w:val="0"/>
          <w:numId w:val="1077"/>
        </w:numPr>
      </w:pPr>
      <w:r>
        <w:t xml:space="preserve">Goal Self-Assessment:</w:t>
      </w:r>
    </w:p>
    <w:p>
      <w:pPr>
        <w:pStyle w:val="Compact"/>
        <w:numPr>
          <w:ilvl w:val="0"/>
          <w:numId w:val="1077"/>
        </w:numPr>
      </w:pPr>
      <w:r>
        <w:t xml:space="preserve">Self-Assessment Explanation/ Justification:</w:t>
      </w:r>
    </w:p>
    <w:p>
      <w:pPr>
        <w:pStyle w:val="Compact"/>
        <w:numPr>
          <w:ilvl w:val="0"/>
          <w:numId w:val="1077"/>
        </w:numPr>
      </w:pPr>
      <w:r>
        <w:t xml:space="preserve">Recommended Requirement Modification:</w:t>
      </w:r>
    </w:p>
    <w:p>
      <w:r>
        <w:pict>
          <v:rect style="width:0;height:1.5pt" o:hralign="center" o:hrstd="t" o:hr="t"/>
        </w:pict>
      </w:r>
    </w:p>
    <w:bookmarkEnd w:id="202"/>
    <w:bookmarkEnd w:id="203"/>
    <w:bookmarkStart w:id="207"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04" w:name="threshold-requirements-40"/>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04"/>
    <w:bookmarkStart w:id="205" w:name="goal-requirements-40"/>
    <w:p>
      <w:pPr>
        <w:pStyle w:val="berschrift5"/>
      </w:pPr>
      <w:r>
        <w:t xml:space="preserve">Goal requirements:</w:t>
      </w:r>
    </w:p>
    <w:p>
      <w:pPr>
        <w:pStyle w:val="FirstParagraph"/>
      </w:pPr>
      <w:r>
        <w:t xml:space="preserve">As threshold, but use of float32.</w:t>
      </w:r>
    </w:p>
    <w:bookmarkEnd w:id="205"/>
    <w:bookmarkStart w:id="206" w:name="assessment-40"/>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p>
      <w:r>
        <w:pict>
          <v:rect style="width:0;height:1.5pt" o:hralign="center" o:hrstd="t" o:hr="t"/>
        </w:pict>
      </w:r>
    </w:p>
    <w:bookmarkEnd w:id="206"/>
    <w:bookmarkEnd w:id="207"/>
    <w:bookmarkStart w:id="211"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08" w:name="threshold-requirements-41"/>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79"/>
        </w:numPr>
      </w:pPr>
      <w:r>
        <w:t xml:space="preserve">Thermal noise removal and image border noise removal to remove overall scene noise and scene edge artefacts, respectively.</w:t>
      </w:r>
    </w:p>
    <w:bookmarkEnd w:id="208"/>
    <w:bookmarkStart w:id="209" w:name="goal-requirements-41"/>
    <w:p>
      <w:pPr>
        <w:pStyle w:val="berschrift5"/>
      </w:pPr>
      <w:r>
        <w:t xml:space="preserve">Goal requirements:</w:t>
      </w:r>
    </w:p>
    <w:p>
      <w:pPr>
        <w:pStyle w:val="FirstParagraph"/>
      </w:pPr>
      <w:r>
        <w:t xml:space="preserve">As threshold.</w:t>
      </w:r>
      <w:r>
        <w:t xml:space="preserve"> </w:t>
      </w:r>
    </w:p>
    <w:bookmarkEnd w:id="209"/>
    <w:bookmarkStart w:id="210" w:name="assessment-41"/>
    <w:p>
      <w:pPr>
        <w:pStyle w:val="berschrift5"/>
      </w:pPr>
      <w:r>
        <w:t xml:space="preserve">Assessment:</w:t>
      </w:r>
    </w:p>
    <w:p>
      <w:pPr>
        <w:pStyle w:val="Compact"/>
        <w:numPr>
          <w:ilvl w:val="0"/>
          <w:numId w:val="1080"/>
        </w:numPr>
      </w:pPr>
      <w:r>
        <w:t xml:space="preserve">Threshold Self-Assessment:</w:t>
      </w:r>
    </w:p>
    <w:p>
      <w:pPr>
        <w:pStyle w:val="Compact"/>
        <w:numPr>
          <w:ilvl w:val="0"/>
          <w:numId w:val="1080"/>
        </w:numPr>
      </w:pPr>
      <w:r>
        <w:t xml:space="preserve">Goal Self-Assessment:</w:t>
      </w:r>
    </w:p>
    <w:p>
      <w:pPr>
        <w:pStyle w:val="Compact"/>
        <w:numPr>
          <w:ilvl w:val="0"/>
          <w:numId w:val="1080"/>
        </w:numPr>
      </w:pPr>
      <w:r>
        <w:t xml:space="preserve">Self-Assessment Explanation/ Justification:</w:t>
      </w:r>
    </w:p>
    <w:p>
      <w:pPr>
        <w:pStyle w:val="Compact"/>
        <w:numPr>
          <w:ilvl w:val="0"/>
          <w:numId w:val="1080"/>
        </w:numPr>
      </w:pPr>
      <w:r>
        <w:t xml:space="preserve">Recommended Requirement Modification:</w:t>
      </w:r>
    </w:p>
    <w:p>
      <w:r>
        <w:pict>
          <v:rect style="width:0;height:1.5pt" o:hralign="center" o:hrstd="t" o:hr="t"/>
        </w:pict>
      </w:r>
    </w:p>
    <w:bookmarkEnd w:id="210"/>
    <w:bookmarkEnd w:id="211"/>
    <w:bookmarkStart w:id="215" w:name="sec:rcm-radacc-sar"/>
    <w:p>
      <w:pPr>
        <w:pStyle w:val="berschrift4"/>
      </w:pPr>
      <w:r>
        <w:rPr>
          <w:rStyle w:val="VerbatimChar"/>
        </w:rPr>
        <w:t xml:space="preserve">5.4.</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12" w:name="threshold-requirements-42"/>
    <w:p>
      <w:pPr>
        <w:pStyle w:val="berschrift5"/>
      </w:pPr>
      <w:r>
        <w:t xml:space="preserve">Threshold requirements:</w:t>
      </w:r>
    </w:p>
    <w:p>
      <w:pPr>
        <w:pStyle w:val="FirstParagraph"/>
      </w:pPr>
      <w:r>
        <w:t xml:space="preserve">Not required.</w:t>
      </w:r>
      <w:r>
        <w:t xml:space="preserve"> </w:t>
      </w:r>
    </w:p>
    <w:bookmarkEnd w:id="212"/>
    <w:bookmarkStart w:id="213" w:name="goal-requirements-42"/>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13"/>
    <w:bookmarkStart w:id="214" w:name="assessment-42"/>
    <w:p>
      <w:pPr>
        <w:pStyle w:val="berschrift5"/>
      </w:pPr>
      <w:r>
        <w:t xml:space="preserve">Assessment:</w:t>
      </w:r>
    </w:p>
    <w:p>
      <w:pPr>
        <w:pStyle w:val="Compact"/>
        <w:numPr>
          <w:ilvl w:val="0"/>
          <w:numId w:val="1081"/>
        </w:numPr>
      </w:pPr>
      <w:r>
        <w:t xml:space="preserve">Threshold Self-Assessment:</w:t>
      </w:r>
    </w:p>
    <w:p>
      <w:pPr>
        <w:pStyle w:val="Compact"/>
        <w:numPr>
          <w:ilvl w:val="0"/>
          <w:numId w:val="1081"/>
        </w:numPr>
      </w:pPr>
      <w:r>
        <w:t xml:space="preserve">Goal Self-Assessment:</w:t>
      </w:r>
    </w:p>
    <w:p>
      <w:pPr>
        <w:pStyle w:val="Compact"/>
        <w:numPr>
          <w:ilvl w:val="0"/>
          <w:numId w:val="1081"/>
        </w:numPr>
      </w:pPr>
      <w:r>
        <w:t xml:space="preserve">Self-Assessment Explanation/ Justification:</w:t>
      </w:r>
    </w:p>
    <w:p>
      <w:pPr>
        <w:pStyle w:val="Compact"/>
        <w:numPr>
          <w:ilvl w:val="0"/>
          <w:numId w:val="1081"/>
        </w:numPr>
      </w:pPr>
      <w:r>
        <w:t xml:space="preserve">Recommended Requirement Modification:</w:t>
      </w:r>
    </w:p>
    <w:p>
      <w:r>
        <w:pict>
          <v:rect style="width:0;height:1.5pt" o:hralign="center" o:hrstd="t" o:hr="t"/>
        </w:pict>
      </w:r>
    </w:p>
    <w:bookmarkEnd w:id="214"/>
    <w:bookmarkEnd w:id="215"/>
    <w:bookmarkStart w:id="219" w:name="sec:rcm-backsmwn"/>
    <w:p>
      <w:pPr>
        <w:pStyle w:val="berschrift4"/>
      </w:pPr>
      <w:r>
        <w:rPr>
          <w:rStyle w:val="VerbatimChar"/>
        </w:rPr>
        <w:t xml:space="preserve">5.5.</w:t>
      </w:r>
      <w:r>
        <w:t xml:space="preserve"> </w:t>
      </w:r>
      <w:r>
        <w:t xml:space="preserve">Mean Wind-Normalised Backscatter Measurements</w:t>
      </w:r>
    </w:p>
    <w:p>
      <w:pPr>
        <w:pStyle w:val="FirstParagraph"/>
      </w:pPr>
      <w:r>
        <w:t xml:space="preserve">Identifier:</w:t>
      </w:r>
      <w:r>
        <w:t xml:space="preserve"> </w:t>
      </w:r>
      <w:r>
        <w:rPr>
          <w:rStyle w:val="VerbatimChar"/>
        </w:rPr>
        <w:t xml:space="preserve">rcm-backsmwn</w:t>
      </w:r>
    </w:p>
    <w:p>
      <w:pPr>
        <w:pStyle w:val="Textkrper"/>
      </w:pPr>
      <w:r>
        <w:rPr>
          <w:b/>
          <w:bCs/>
        </w:rPr>
        <w:t xml:space="preserve">Usage:</w:t>
      </w:r>
      <w:r>
        <w:t xml:space="preserve"> </w:t>
      </w:r>
      <w:r>
        <w:t xml:space="preserve">Only for Maritime scenes.</w:t>
      </w:r>
    </w:p>
    <w:bookmarkStart w:id="216" w:name="threshold-requirements-43"/>
    <w:p>
      <w:pPr>
        <w:pStyle w:val="berschrift5"/>
      </w:pPr>
      <w:r>
        <w:t xml:space="preserve">Threshold requirements:</w:t>
      </w:r>
    </w:p>
    <w:p>
      <w:pPr>
        <w:pStyle w:val="FirstParagraph"/>
      </w:pPr>
      <w:r>
        <w:t xml:space="preserve">Not required.</w:t>
      </w:r>
      <w:r>
        <w:t xml:space="preserve"> </w:t>
      </w:r>
    </w:p>
    <w:bookmarkEnd w:id="216"/>
    <w:bookmarkStart w:id="217" w:name="goal-requirements-43"/>
    <w:p>
      <w:pPr>
        <w:pStyle w:val="berschrift5"/>
      </w:pPr>
      <w:r>
        <w:t xml:space="preserve">Goal requirements:</w:t>
      </w:r>
    </w:p>
    <w:p>
      <w:pPr>
        <w:pStyle w:val="FirstParagraph"/>
      </w:pPr>
      <w:r>
        <w:t xml:space="preserve">Mean wind-normalised (over ocean) backscatter coefficient is provided for each available polarization.</w:t>
      </w:r>
      <w:r>
        <w:t xml:space="preserve"> </w:t>
      </w:r>
      <w:r>
        <w:t xml:space="preserve">It is calculated as the ratio between the backscatter intensity and a simulated backscatter intensity image generated using an ocean surface wind model such as, e.g.,</w:t>
      </w:r>
      <w:r>
        <w:t xml:space="preserve"> </w:t>
      </w:r>
      <w:r>
        <w:t xml:space="preserve">(</w:t>
      </w:r>
      <w:hyperlink w:anchor="ref-quilfen1998">
        <w:r>
          <w:rPr>
            <w:rStyle w:val="Hyperlink"/>
          </w:rPr>
          <w:t xml:space="preserve">Yves et al. 1998</w:t>
        </w:r>
      </w:hyperlink>
      <w:r>
        <w:t xml:space="preserve">)</w:t>
      </w:r>
      <w:r>
        <w:t xml:space="preserve"> </w:t>
      </w:r>
      <w:r>
        <w:t xml:space="preserve">or</w:t>
      </w:r>
      <w:r>
        <w:t xml:space="preserve"> </w:t>
      </w:r>
      <w:r>
        <w:t xml:space="preserve">(</w:t>
      </w:r>
      <w:hyperlink w:anchor="ref-vachon2000">
        <w:r>
          <w:rPr>
            <w:rStyle w:val="Hyperlink"/>
          </w:rPr>
          <w:t xml:space="preserve">Vachon and Dobson 2000</w:t>
        </w:r>
      </w:hyperlink>
      <w:r>
        <w:t xml:space="preserve">)</w:t>
      </w:r>
      <w:r>
        <w:t xml:space="preserve"> </w:t>
      </w:r>
      <w:r>
        <w:t xml:space="preserve">for VV and HH polarization respectively.</w:t>
      </w:r>
    </w:p>
    <w:p>
      <w:pPr>
        <w:pStyle w:val="Textkrper"/>
      </w:pPr>
      <w:r>
        <w:t xml:space="preserve">File format specifications/contents provided in metadata:</w:t>
      </w:r>
    </w:p>
    <w:p>
      <w:pPr>
        <w:pStyle w:val="Compact"/>
        <w:numPr>
          <w:ilvl w:val="0"/>
          <w:numId w:val="1082"/>
        </w:numPr>
      </w:pPr>
      <w:r>
        <w:t xml:space="preserve">Measurement Type (Wind-Normalised Backscatter)</w:t>
      </w:r>
    </w:p>
    <w:p>
      <w:pPr>
        <w:pStyle w:val="Compact"/>
        <w:numPr>
          <w:ilvl w:val="0"/>
          <w:numId w:val="1082"/>
        </w:numPr>
      </w:pPr>
      <w:r>
        <w:t xml:space="preserve">Backscatter Expression Convention (intensity ratio)</w:t>
      </w:r>
    </w:p>
    <w:p>
      <w:pPr>
        <w:pStyle w:val="Compact"/>
        <w:numPr>
          <w:ilvl w:val="0"/>
          <w:numId w:val="1082"/>
        </w:numPr>
      </w:pPr>
      <w:r>
        <w:t xml:space="preserve">Polarization (HH, HV, VV, VH)</w:t>
      </w:r>
    </w:p>
    <w:p>
      <w:pPr>
        <w:pStyle w:val="Compact"/>
        <w:numPr>
          <w:ilvl w:val="0"/>
          <w:numId w:val="1082"/>
        </w:numPr>
      </w:pPr>
      <w:r>
        <w:t xml:space="preserve">Data Format (GeoTIFF, HDF5, NetCDF, …)</w:t>
      </w:r>
    </w:p>
    <w:p>
      <w:pPr>
        <w:pStyle w:val="Compact"/>
        <w:numPr>
          <w:ilvl w:val="0"/>
          <w:numId w:val="1082"/>
        </w:numPr>
      </w:pPr>
      <w:r>
        <w:t xml:space="preserve">Data Type (Int, Float, …)</w:t>
      </w:r>
    </w:p>
    <w:p>
      <w:pPr>
        <w:pStyle w:val="Compact"/>
        <w:numPr>
          <w:ilvl w:val="0"/>
          <w:numId w:val="1082"/>
        </w:numPr>
      </w:pPr>
      <w:r>
        <w:t xml:space="preserve">Bits per Sample</w:t>
      </w:r>
    </w:p>
    <w:p>
      <w:pPr>
        <w:pStyle w:val="Compact"/>
        <w:numPr>
          <w:ilvl w:val="0"/>
          <w:numId w:val="1082"/>
        </w:numPr>
      </w:pPr>
      <w:r>
        <w:t xml:space="preserve">Byte Order</w:t>
      </w:r>
    </w:p>
    <w:p>
      <w:pPr>
        <w:pStyle w:val="FirstParagraph"/>
      </w:pPr>
      <w:r>
        <w:t xml:space="preserve">Note:</w:t>
      </w:r>
    </w:p>
    <w:p>
      <w:pPr>
        <w:pStyle w:val="Compact"/>
        <w:numPr>
          <w:ilvl w:val="0"/>
          <w:numId w:val="1083"/>
        </w:numPr>
      </w:pPr>
      <w:r>
        <w:t xml:space="preserve">Reference wind model, wind speed and direction used for reference backscattering coefficient should be provided.</w:t>
      </w:r>
    </w:p>
    <w:bookmarkEnd w:id="217"/>
    <w:bookmarkStart w:id="218" w:name="assessment-43"/>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bookmarkEnd w:id="218"/>
    <w:bookmarkEnd w:id="219"/>
    <w:bookmarkEnd w:id="220"/>
    <w:bookmarkStart w:id="241"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24"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21" w:name="threshold-requirements-44"/>
    <w:p>
      <w:pPr>
        <w:pStyle w:val="berschrift5"/>
      </w:pPr>
      <w:r>
        <w:t xml:space="preserve">Threshold requirements:</w:t>
      </w:r>
    </w:p>
    <w:p>
      <w:pPr>
        <w:pStyle w:val="FirstParagraph"/>
      </w:pPr>
      <w:r>
        <w:t xml:space="preserve">Not required.</w:t>
      </w:r>
      <w:r>
        <w:t xml:space="preserve"> </w:t>
      </w:r>
    </w:p>
    <w:bookmarkEnd w:id="221"/>
    <w:bookmarkStart w:id="222" w:name="goal-requirements-44"/>
    <w:p>
      <w:pPr>
        <w:pStyle w:val="berschrift5"/>
      </w:pPr>
      <w:r>
        <w:t xml:space="preserve">Goal requirements:</w:t>
      </w:r>
    </w:p>
    <w:p>
      <w:pPr>
        <w:pStyle w:val="FirstParagraph"/>
      </w:pPr>
      <w:r>
        <w:t xml:space="preserve">Metadata references, e.g.:</w:t>
      </w:r>
    </w:p>
    <w:p>
      <w:pPr>
        <w:pStyle w:val="Compact"/>
        <w:numPr>
          <w:ilvl w:val="0"/>
          <w:numId w:val="1085"/>
        </w:numPr>
      </w:pPr>
      <w:r>
        <w:t xml:space="preserve">A metadata citable peer-reviewed algorithm</w:t>
      </w:r>
    </w:p>
    <w:p>
      <w:pPr>
        <w:pStyle w:val="Compact"/>
        <w:numPr>
          <w:ilvl w:val="0"/>
          <w:numId w:val="1085"/>
        </w:numPr>
      </w:pPr>
      <w:r>
        <w:t xml:space="preserve">Technical documentation regarding the implementation of that algorithm expressed as URLs or DOIs</w:t>
      </w:r>
    </w:p>
    <w:p>
      <w:pPr>
        <w:pStyle w:val="Compact"/>
        <w:numPr>
          <w:ilvl w:val="0"/>
          <w:numId w:val="1085"/>
        </w:numPr>
      </w:pPr>
      <w:r>
        <w:t xml:space="preserve">The sources of auxiliary data used to make corrections</w:t>
      </w:r>
    </w:p>
    <w:p>
      <w:pPr>
        <w:pStyle w:val="Compact"/>
        <w:numPr>
          <w:ilvl w:val="0"/>
          <w:numId w:val="1085"/>
        </w:numPr>
      </w:pPr>
      <w:r>
        <w:t xml:space="preserve">Resampling method used for geometric processing of the source data</w:t>
      </w:r>
    </w:p>
    <w:p>
      <w:pPr>
        <w:pStyle w:val="FirstParagraph"/>
      </w:pPr>
      <w:r>
        <w:t xml:space="preserve">Note:</w:t>
      </w:r>
    </w:p>
    <w:p>
      <w:pPr>
        <w:pStyle w:val="Compact"/>
        <w:numPr>
          <w:ilvl w:val="0"/>
          <w:numId w:val="1086"/>
        </w:numPr>
      </w:pPr>
      <w:r>
        <w:t xml:space="preserve">Examples of technical documentation can include e.g., an Algorithm Theoretical Basis Document (ATBD), or a product user guide.</w:t>
      </w:r>
    </w:p>
    <w:bookmarkEnd w:id="222"/>
    <w:bookmarkStart w:id="223" w:name="assessment-44"/>
    <w:p>
      <w:pPr>
        <w:pStyle w:val="berschrift5"/>
      </w:pPr>
      <w:r>
        <w:t xml:space="preserve">Assessment:</w:t>
      </w:r>
    </w:p>
    <w:p>
      <w:pPr>
        <w:pStyle w:val="Compact"/>
        <w:numPr>
          <w:ilvl w:val="0"/>
          <w:numId w:val="1087"/>
        </w:numPr>
      </w:pPr>
      <w:r>
        <w:t xml:space="preserve">Threshold Self-Assessment:</w:t>
      </w:r>
    </w:p>
    <w:p>
      <w:pPr>
        <w:pStyle w:val="Compact"/>
        <w:numPr>
          <w:ilvl w:val="0"/>
          <w:numId w:val="1087"/>
        </w:numPr>
      </w:pPr>
      <w:r>
        <w:t xml:space="preserve">Goal Self-Assessment:</w:t>
      </w:r>
    </w:p>
    <w:p>
      <w:pPr>
        <w:pStyle w:val="Compact"/>
        <w:numPr>
          <w:ilvl w:val="0"/>
          <w:numId w:val="1087"/>
        </w:numPr>
      </w:pPr>
      <w:r>
        <w:t xml:space="preserve">Self-Assessment Explanation/ Justification:</w:t>
      </w:r>
    </w:p>
    <w:p>
      <w:pPr>
        <w:pStyle w:val="Compact"/>
        <w:numPr>
          <w:ilvl w:val="0"/>
          <w:numId w:val="1087"/>
        </w:numPr>
      </w:pPr>
      <w:r>
        <w:t xml:space="preserve">Recommended Requirement Modification:</w:t>
      </w:r>
    </w:p>
    <w:p>
      <w:r>
        <w:pict>
          <v:rect style="width:0;height:1.5pt" o:hralign="center" o:hrstd="t" o:hr="t"/>
        </w:pict>
      </w:r>
    </w:p>
    <w:bookmarkEnd w:id="223"/>
    <w:bookmarkEnd w:id="224"/>
    <w:bookmarkStart w:id="228"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25" w:name="threshold-requirements-45"/>
    <w:p>
      <w:pPr>
        <w:pStyle w:val="berschrift5"/>
      </w:pPr>
      <w:r>
        <w:t xml:space="preserve">Threshold requirements:</w:t>
      </w:r>
    </w:p>
    <w:p>
      <w:pPr>
        <w:pStyle w:val="Compact"/>
        <w:numPr>
          <w:ilvl w:val="0"/>
          <w:numId w:val="1088"/>
        </w:numPr>
      </w:pPr>
      <w:r>
        <w:t xml:space="preserve">During ortho-rectification, the data provider shall use the same DEM that was used for the radiometric terrain flattening to ensure consistency of the data stack.</w:t>
      </w:r>
    </w:p>
    <w:p>
      <w:pPr>
        <w:pStyle w:val="Compact"/>
        <w:numPr>
          <w:ilvl w:val="0"/>
          <w:numId w:val="1088"/>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088"/>
        </w:numPr>
      </w:pPr>
      <w:r>
        <w:t xml:space="preserve">Provide reference to Earth Gravitational Model (EGM) if used for geometric correction. For mosaic or composite products, specify the EGM used for each input data source, if different.</w:t>
      </w:r>
    </w:p>
    <w:bookmarkEnd w:id="225"/>
    <w:bookmarkStart w:id="226" w:name="goal-requirements-45"/>
    <w:p>
      <w:pPr>
        <w:pStyle w:val="berschrift5"/>
      </w:pPr>
      <w:r>
        <w:t xml:space="preserve">Goal requirements:</w:t>
      </w:r>
    </w:p>
    <w:p>
      <w:pPr>
        <w:pStyle w:val="Compact"/>
        <w:numPr>
          <w:ilvl w:val="0"/>
          <w:numId w:val="1089"/>
        </w:numPr>
      </w:pPr>
      <w:r>
        <w:t xml:space="preserve">A DEM with comparable or better resolution to the resolution of the output CEOS-ARD product shall be used if available. Else, the upsampled DEM is identified.</w:t>
      </w:r>
    </w:p>
    <w:p>
      <w:pPr>
        <w:pStyle w:val="Compact"/>
        <w:numPr>
          <w:ilvl w:val="0"/>
          <w:numId w:val="1089"/>
        </w:numPr>
      </w:pPr>
      <w:r>
        <w:t xml:space="preserve">Resampling method used for preparation of the DEM.</w:t>
      </w:r>
    </w:p>
    <w:p>
      <w:pPr>
        <w:pStyle w:val="Compact"/>
        <w:numPr>
          <w:ilvl w:val="0"/>
          <w:numId w:val="1089"/>
        </w:numPr>
      </w:pPr>
      <w:r>
        <w:t xml:space="preserve">Method used for resampling the EGM.</w:t>
      </w:r>
    </w:p>
    <w:bookmarkEnd w:id="226"/>
    <w:bookmarkStart w:id="227" w:name="assessment-45"/>
    <w:p>
      <w:pPr>
        <w:pStyle w:val="berschrift5"/>
      </w:pPr>
      <w:r>
        <w:t xml:space="preserve">Assessment:</w:t>
      </w:r>
    </w:p>
    <w:p>
      <w:pPr>
        <w:pStyle w:val="Compact"/>
        <w:numPr>
          <w:ilvl w:val="0"/>
          <w:numId w:val="1090"/>
        </w:numPr>
      </w:pPr>
      <w:r>
        <w:t xml:space="preserve">Threshold Self-Assessment:</w:t>
      </w:r>
    </w:p>
    <w:p>
      <w:pPr>
        <w:pStyle w:val="Compact"/>
        <w:numPr>
          <w:ilvl w:val="0"/>
          <w:numId w:val="1090"/>
        </w:numPr>
      </w:pPr>
      <w:r>
        <w:t xml:space="preserve">Goal Self-Assessment:</w:t>
      </w:r>
    </w:p>
    <w:p>
      <w:pPr>
        <w:pStyle w:val="Compact"/>
        <w:numPr>
          <w:ilvl w:val="0"/>
          <w:numId w:val="1090"/>
        </w:numPr>
      </w:pPr>
      <w:r>
        <w:t xml:space="preserve">Self-Assessment Explanation/ Justification:</w:t>
      </w:r>
    </w:p>
    <w:p>
      <w:pPr>
        <w:pStyle w:val="Compact"/>
        <w:numPr>
          <w:ilvl w:val="0"/>
          <w:numId w:val="1090"/>
        </w:numPr>
      </w:pPr>
      <w:r>
        <w:t xml:space="preserve">Recommended Requirement Modification:</w:t>
      </w:r>
    </w:p>
    <w:p>
      <w:r>
        <w:pict>
          <v:rect style="width:0;height:1.5pt" o:hralign="center" o:hrstd="t" o:hr="t"/>
        </w:pict>
      </w:r>
    </w:p>
    <w:bookmarkEnd w:id="227"/>
    <w:bookmarkEnd w:id="228"/>
    <w:bookmarkStart w:id="232"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29" w:name="threshold-requirements-46"/>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091"/>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091"/>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091"/>
        </w:numPr>
      </w:pPr>
      <w:r>
        <w:t xml:space="preserve">For new SAR missions, as long as calibration/validation reports are not available, values can be set to NaN and provide a DOI or URL link to pre-launch mission specification document.</w:t>
      </w:r>
    </w:p>
    <w:bookmarkEnd w:id="229"/>
    <w:bookmarkStart w:id="230" w:name="goal-requirements-46"/>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30"/>
    <w:bookmarkStart w:id="231" w:name="assessment-46"/>
    <w:p>
      <w:pPr>
        <w:pStyle w:val="berschrift5"/>
      </w:pPr>
      <w:r>
        <w:t xml:space="preserve">Assessment:</w:t>
      </w:r>
    </w:p>
    <w:p>
      <w:pPr>
        <w:pStyle w:val="Compact"/>
        <w:numPr>
          <w:ilvl w:val="0"/>
          <w:numId w:val="1092"/>
        </w:numPr>
      </w:pPr>
      <w:r>
        <w:t xml:space="preserve">Threshold Self-Assessment:</w:t>
      </w:r>
    </w:p>
    <w:p>
      <w:pPr>
        <w:pStyle w:val="Compact"/>
        <w:numPr>
          <w:ilvl w:val="0"/>
          <w:numId w:val="1092"/>
        </w:numPr>
      </w:pPr>
      <w:r>
        <w:t xml:space="preserve">Goal Self-Assessment:</w:t>
      </w:r>
    </w:p>
    <w:p>
      <w:pPr>
        <w:pStyle w:val="Compact"/>
        <w:numPr>
          <w:ilvl w:val="0"/>
          <w:numId w:val="1092"/>
        </w:numPr>
      </w:pPr>
      <w:r>
        <w:t xml:space="preserve">Self-Assessment Explanation/ Justification:</w:t>
      </w:r>
    </w:p>
    <w:p>
      <w:pPr>
        <w:pStyle w:val="Compact"/>
        <w:numPr>
          <w:ilvl w:val="0"/>
          <w:numId w:val="1092"/>
        </w:numPr>
      </w:pPr>
      <w:r>
        <w:t xml:space="preserve">Recommended Requirement Modification:</w:t>
      </w:r>
    </w:p>
    <w:p>
      <w:r>
        <w:pict>
          <v:rect style="width:0;height:1.5pt" o:hralign="center" o:hrstd="t" o:hr="t"/>
        </w:pict>
      </w:r>
    </w:p>
    <w:bookmarkEnd w:id="231"/>
    <w:bookmarkEnd w:id="232"/>
    <w:bookmarkStart w:id="236"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33" w:name="threshold-requirements-47"/>
    <w:p>
      <w:pPr>
        <w:pStyle w:val="berschrift5"/>
      </w:pPr>
      <w:r>
        <w:t xml:space="preserve">Threshold requirements:</w:t>
      </w:r>
    </w:p>
    <w:p>
      <w:pPr>
        <w:pStyle w:val="FirstParagraph"/>
      </w:pPr>
      <w:r>
        <w:t xml:space="preserve">Not required.</w:t>
      </w:r>
      <w:r>
        <w:t xml:space="preserve"> </w:t>
      </w:r>
    </w:p>
    <w:bookmarkEnd w:id="233"/>
    <w:bookmarkStart w:id="234" w:name="goal-requirements-47"/>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34"/>
    <w:bookmarkStart w:id="235" w:name="assessment-47"/>
    <w:p>
      <w:pPr>
        <w:pStyle w:val="berschrift5"/>
      </w:pPr>
      <w:r>
        <w:t xml:space="preserve">Assessment:</w:t>
      </w:r>
    </w:p>
    <w:p>
      <w:pPr>
        <w:pStyle w:val="Compact"/>
        <w:numPr>
          <w:ilvl w:val="0"/>
          <w:numId w:val="1093"/>
        </w:numPr>
      </w:pPr>
      <w:r>
        <w:t xml:space="preserve">Threshold Self-Assessment:</w:t>
      </w:r>
    </w:p>
    <w:p>
      <w:pPr>
        <w:pStyle w:val="Compact"/>
        <w:numPr>
          <w:ilvl w:val="0"/>
          <w:numId w:val="1093"/>
        </w:numPr>
      </w:pPr>
      <w:r>
        <w:t xml:space="preserve">Goal Self-Assessment:</w:t>
      </w:r>
    </w:p>
    <w:p>
      <w:pPr>
        <w:pStyle w:val="Compact"/>
        <w:numPr>
          <w:ilvl w:val="0"/>
          <w:numId w:val="1093"/>
        </w:numPr>
      </w:pPr>
      <w:r>
        <w:t xml:space="preserve">Self-Assessment Explanation/ Justification:</w:t>
      </w:r>
    </w:p>
    <w:p>
      <w:pPr>
        <w:pStyle w:val="Compact"/>
        <w:numPr>
          <w:ilvl w:val="0"/>
          <w:numId w:val="1093"/>
        </w:numPr>
      </w:pPr>
      <w:r>
        <w:t xml:space="preserve">Recommended Requirement Modification:</w:t>
      </w:r>
    </w:p>
    <w:p>
      <w:r>
        <w:pict>
          <v:rect style="width:0;height:1.5pt" o:hralign="center" o:hrstd="t" o:hr="t"/>
        </w:pict>
      </w:r>
    </w:p>
    <w:bookmarkEnd w:id="235"/>
    <w:bookmarkEnd w:id="236"/>
    <w:bookmarkStart w:id="240"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37" w:name="threshold-requirements-48"/>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094"/>
        </w:numPr>
      </w:pPr>
      <w:r>
        <w:t xml:space="preserve">If a product hierarchy of resolutions exists (or is planned), the multiple resolutions should nest within each other (e.g., 12.5m, 25m, 50m, 100m, etc.), and not be disjoint.</w:t>
      </w:r>
    </w:p>
    <w:bookmarkEnd w:id="237"/>
    <w:bookmarkStart w:id="238" w:name="goal-requirements-48"/>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38"/>
    <w:bookmarkStart w:id="239" w:name="assessment-48"/>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br w:type="page"/>
      </w:r>
    </w:p>
    <w:bookmarkEnd w:id="239"/>
    <w:bookmarkEnd w:id="240"/>
    <w:bookmarkEnd w:id="241"/>
    <w:bookmarkEnd w:id="242"/>
    <w:bookmarkStart w:id="249" w:name="summary-self-assessment-table"/>
    <w:p>
      <w:pPr>
        <w:pStyle w:val="berschrift2"/>
      </w:pPr>
      <w:r>
        <w:t xml:space="preserve">Summary Self-Assessment Table</w:t>
      </w:r>
    </w:p>
    <w:bookmarkStart w:id="243"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43"/>
    <w:bookmarkStart w:id="244"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44"/>
    <w:bookmarkStart w:id="245"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prd-spekfil</w:t>
            </w:r>
          </w:p>
        </w:tc>
        <w:tc>
          <w:tcPr/>
          <w:p>
            <w:pPr>
              <w:pStyle w:val="Compact"/>
            </w:pPr>
            <w:r>
              <w:t xml:space="preserve">Product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prd-lookdip</w:t>
            </w:r>
          </w:p>
        </w:tc>
        <w:tc>
          <w:tcPr/>
          <w:p>
            <w:pPr>
              <w:pStyle w:val="Compact"/>
            </w:pPr>
            <w:r>
              <w:t xml:space="preserve">Look Direction Polynomials</w:t>
            </w:r>
          </w:p>
        </w:tc>
        <w:tc>
          <w:tcPr/>
          <w:p>
            <w:pPr>
              <w:pStyle w:val="Compact"/>
            </w:pPr>
          </w:p>
        </w:tc>
        <w:tc>
          <w:tcPr/>
          <w:p>
            <w:pPr>
              <w:pStyle w:val="Compact"/>
              <w:jc w:val="center"/>
            </w:pPr>
            <w:r>
              <w:rPr>
                <w:i/>
                <w:iCs/>
              </w:rPr>
              <w:t xml:space="preserve">as threshold</w:t>
            </w:r>
          </w:p>
        </w:tc>
      </w:tr>
    </w:tbl>
    <w:bookmarkEnd w:id="245"/>
    <w:bookmarkStart w:id="246"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pxl-ploinca</w:t>
            </w:r>
          </w:p>
        </w:tc>
        <w:tc>
          <w:tcPr/>
          <w:p>
            <w:pPr>
              <w:pStyle w:val="Compact"/>
            </w:pPr>
            <w:r>
              <w:t xml:space="preserve">Local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pxl-pacqidm</w:t>
            </w:r>
          </w:p>
        </w:tc>
        <w:tc>
          <w:tcPr/>
          <w:p>
            <w:pPr>
              <w:pStyle w:val="Compact"/>
            </w:pPr>
            <w:r>
              <w:t xml:space="preserve">Acquisition ID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pxl-pigeoid</w:t>
            </w:r>
          </w:p>
        </w:tc>
        <w:tc>
          <w:tcPr/>
          <w:p>
            <w:pPr>
              <w:pStyle w:val="Compact"/>
            </w:pPr>
            <w:r>
              <w:t xml:space="preserve">Per-Pixel Geoid</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pxl-lookdiri</w:t>
            </w:r>
          </w:p>
        </w:tc>
        <w:tc>
          <w:tcPr/>
          <w:p>
            <w:pPr>
              <w:pStyle w:val="Compact"/>
            </w:pPr>
            <w:r>
              <w:t xml:space="preserve">Look Direction Image</w:t>
            </w:r>
          </w:p>
        </w:tc>
        <w:tc>
          <w:tcPr/>
          <w:p>
            <w:pPr>
              <w:pStyle w:val="Compact"/>
              <w:jc w:val="center"/>
            </w:pPr>
            <w:r>
              <w:rPr>
                <w:i/>
                <w:iCs/>
              </w:rPr>
              <w:t xml:space="preserve">not required</w:t>
            </w:r>
          </w:p>
        </w:tc>
        <w:tc>
          <w:tcPr/>
          <w:p>
            <w:pPr>
              <w:pStyle w:val="Compact"/>
            </w:pPr>
          </w:p>
        </w:tc>
      </w:tr>
    </w:tbl>
    <w:bookmarkEnd w:id="246"/>
    <w:bookmarkStart w:id="247"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rcm-backsca-orb</w:t>
            </w:r>
          </w:p>
        </w:tc>
        <w:tc>
          <w:tcPr/>
          <w:p>
            <w:pPr>
              <w:pStyle w:val="Compact"/>
            </w:pPr>
            <w:r>
              <w:t xml:space="preserve">Backscatter Measurements (ORB)</w:t>
            </w:r>
          </w:p>
        </w:tc>
        <w:tc>
          <w:tcPr/>
          <w:p>
            <w:pPr>
              <w:pStyle w:val="Compact"/>
            </w:pPr>
          </w:p>
        </w:tc>
        <w:tc>
          <w:tcPr/>
          <w:p>
            <w:pPr>
              <w:pStyle w:val="Compact"/>
            </w:pP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rcm-backsmwn</w:t>
            </w:r>
          </w:p>
        </w:tc>
        <w:tc>
          <w:tcPr/>
          <w:p>
            <w:pPr>
              <w:pStyle w:val="Compact"/>
            </w:pPr>
            <w:r>
              <w:t xml:space="preserve">Mean Wind-Normalised Backscatter Measurements</w:t>
            </w:r>
          </w:p>
        </w:tc>
        <w:tc>
          <w:tcPr/>
          <w:p>
            <w:pPr>
              <w:pStyle w:val="Compact"/>
              <w:jc w:val="center"/>
            </w:pPr>
            <w:r>
              <w:rPr>
                <w:i/>
                <w:iCs/>
              </w:rPr>
              <w:t xml:space="preserve">not required</w:t>
            </w:r>
          </w:p>
        </w:tc>
        <w:tc>
          <w:tcPr/>
          <w:p>
            <w:pPr>
              <w:pStyle w:val="Compact"/>
            </w:pPr>
          </w:p>
        </w:tc>
      </w:tr>
    </w:tbl>
    <w:bookmarkEnd w:id="247"/>
    <w:bookmarkStart w:id="248"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48"/>
    <w:bookmarkEnd w:id="249"/>
    <w:bookmarkStart w:id="255"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50"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50"/>
    <w:bookmarkStart w:id="252"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6"/>
        </w:numPr>
      </w:pPr>
      <w:r>
        <w:t xml:space="preserve">that product has been assessed as meeting CEOS-ARD requirements by the agency responsible for production and distribution of the product, and</w:t>
      </w:r>
    </w:p>
    <w:p>
      <w:pPr>
        <w:pStyle w:val="Compact"/>
        <w:numPr>
          <w:ilvl w:val="0"/>
          <w:numId w:val="1096"/>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51">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52"/>
    <w:bookmarkStart w:id="253"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53"/>
    <w:bookmarkStart w:id="254"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54"/>
    <w:bookmarkEnd w:id="255"/>
    <w:bookmarkStart w:id="275" w:name="references"/>
    <w:p>
      <w:pPr>
        <w:pStyle w:val="berschrift2"/>
      </w:pPr>
      <w:r>
        <w:t xml:space="preserve">References</w:t>
      </w:r>
    </w:p>
    <w:bookmarkStart w:id="274" w:name="refs"/>
    <w:bookmarkStart w:id="257"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56">
        <w:r>
          <w:rPr>
            <w:rStyle w:val="Hyperlink"/>
          </w:rPr>
          <w:t xml:space="preserve">https://doi.org/10.5281/zenodo.17801666</w:t>
        </w:r>
      </w:hyperlink>
      <w:r>
        <w:t xml:space="preserve">.</w:t>
      </w:r>
    </w:p>
    <w:bookmarkEnd w:id="257"/>
    <w:bookmarkStart w:id="258"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58"/>
    <w:bookmarkStart w:id="259"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59"/>
    <w:bookmarkStart w:id="261"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60">
        <w:r>
          <w:rPr>
            <w:rStyle w:val="Hyperlink"/>
          </w:rPr>
          <w:t xml:space="preserve">https://doi.org/10.1109/TGRS.2008.2002881</w:t>
        </w:r>
      </w:hyperlink>
      <w:r>
        <w:t xml:space="preserve">.</w:t>
      </w:r>
    </w:p>
    <w:bookmarkEnd w:id="261"/>
    <w:bookmarkStart w:id="263"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62">
        <w:r>
          <w:rPr>
            <w:rStyle w:val="Hyperlink"/>
          </w:rPr>
          <w:t xml:space="preserve">https://doi.org/10.1109/TGRS.2022.3147472</w:t>
        </w:r>
      </w:hyperlink>
      <w:r>
        <w:t xml:space="preserve">.</w:t>
      </w:r>
    </w:p>
    <w:bookmarkEnd w:id="263"/>
    <w:bookmarkStart w:id="265"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64">
        <w:r>
          <w:rPr>
            <w:rStyle w:val="Hyperlink"/>
          </w:rPr>
          <w:t xml:space="preserve">https://doi.org/10.1109/TGRS.2011.2120616</w:t>
        </w:r>
      </w:hyperlink>
      <w:r>
        <w:t xml:space="preserve">.</w:t>
      </w:r>
    </w:p>
    <w:bookmarkEnd w:id="265"/>
    <w:bookmarkStart w:id="267" w:name="ref-vachon2000"/>
    <w:p>
      <w:pPr>
        <w:pStyle w:val="Literaturverzeichnis"/>
      </w:pPr>
      <w:r>
        <w:t xml:space="preserve">Vachon, P., and F. Dobson. 2000.</w:t>
      </w:r>
      <w:r>
        <w:t xml:space="preserve"> </w:t>
      </w:r>
      <w:r>
        <w:t xml:space="preserve">“Wind Retrieval from RADARSAT SAR Images: Selection of a Suitable c-Band HH Polarization Wind Retrieval Model.”</w:t>
      </w:r>
      <w:r>
        <w:t xml:space="preserve"> </w:t>
      </w:r>
      <w:r>
        <w:rPr>
          <w:i/>
          <w:iCs/>
        </w:rPr>
        <w:t xml:space="preserve">Can. J. Remote Sens.</w:t>
      </w:r>
      <w:r>
        <w:t xml:space="preserve"> </w:t>
      </w:r>
      <w:r>
        <w:t xml:space="preserve">26 (August): 306–13.</w:t>
      </w:r>
      <w:r>
        <w:t xml:space="preserve"> </w:t>
      </w:r>
      <w:hyperlink r:id="rId266">
        <w:r>
          <w:rPr>
            <w:rStyle w:val="Hyperlink"/>
          </w:rPr>
          <w:t xml:space="preserve">https://doi.org/10.1080/07038992.2000.10874781</w:t>
        </w:r>
      </w:hyperlink>
      <w:r>
        <w:t xml:space="preserve">.</w:t>
      </w:r>
    </w:p>
    <w:bookmarkEnd w:id="267"/>
    <w:bookmarkStart w:id="269" w:name="ref-quilfen1998"/>
    <w:p>
      <w:pPr>
        <w:pStyle w:val="Literaturverzeichnis"/>
      </w:pPr>
      <w:r>
        <w:t xml:space="preserve">Yves, Quilfen, B. Chapron, T. Elfouhaily, Kristina Katsaros, and Jean Tournadre. 1998.</w:t>
      </w:r>
      <w:r>
        <w:t xml:space="preserve"> </w:t>
      </w:r>
      <w:r>
        <w:t xml:space="preserve">“Observation of Tropical Cyclones by High-Resolution Scatterometry.”</w:t>
      </w:r>
      <w:r>
        <w:t xml:space="preserve"> </w:t>
      </w:r>
      <w:r>
        <w:rPr>
          <w:i/>
          <w:iCs/>
        </w:rPr>
        <w:t xml:space="preserve">J. Geophys. Res.</w:t>
      </w:r>
      <w:r>
        <w:t xml:space="preserve"> </w:t>
      </w:r>
      <w:r>
        <w:t xml:space="preserve">103 (April): 7, 767–67, 786.</w:t>
      </w:r>
      <w:r>
        <w:t xml:space="preserve"> </w:t>
      </w:r>
      <w:hyperlink r:id="rId268">
        <w:r>
          <w:rPr>
            <w:rStyle w:val="Hyperlink"/>
          </w:rPr>
          <w:t xml:space="preserve">https://doi.org/10.1029/97JC01911</w:t>
        </w:r>
      </w:hyperlink>
      <w:r>
        <w:t xml:space="preserve">.</w:t>
      </w:r>
    </w:p>
    <w:bookmarkEnd w:id="269"/>
    <w:bookmarkStart w:id="271"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70">
        <w:r>
          <w:rPr>
            <w:rStyle w:val="Hyperlink"/>
          </w:rPr>
          <w:t xml:space="preserve">https://doi.org/10.1109/LGRS.2017.2753580</w:t>
        </w:r>
      </w:hyperlink>
      <w:r>
        <w:t xml:space="preserve">.</w:t>
      </w:r>
    </w:p>
    <w:bookmarkEnd w:id="271"/>
    <w:bookmarkStart w:id="273"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72">
        <w:r>
          <w:rPr>
            <w:rStyle w:val="Hyperlink"/>
          </w:rPr>
          <w:t xml:space="preserve">https://doi.org/10.1109/TGRS.2010.2051333</w:t>
        </w:r>
      </w:hyperlink>
      <w:r>
        <w:t xml:space="preserve">.</w:t>
      </w:r>
    </w:p>
    <w:bookmarkEnd w:id="273"/>
    <w:bookmarkEnd w:id="274"/>
    <w:p>
      <w:r>
        <w:br w:type="page"/>
      </w:r>
    </w:p>
    <w:bookmarkEnd w:id="275"/>
    <w:bookmarkStart w:id="303" w:name="annexes"/>
    <w:p>
      <w:pPr>
        <w:pStyle w:val="berschrift2"/>
      </w:pPr>
      <w:r>
        <w:t xml:space="preserve">Annexes</w:t>
      </w:r>
    </w:p>
    <w:bookmarkStart w:id="277"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097"/>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097"/>
        </w:numPr>
      </w:pPr>
      <w:r>
        <w:t xml:space="preserve">Apply instrument calibration to produce Beta-Nought values with high fidelity.</w:t>
      </w:r>
    </w:p>
    <w:p>
      <w:pPr>
        <w:pStyle w:val="Compact"/>
        <w:numPr>
          <w:ilvl w:val="0"/>
          <w:numId w:val="1097"/>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097"/>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097"/>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097"/>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097"/>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097"/>
        </w:numPr>
      </w:pPr>
      <w:r>
        <w:t xml:space="preserve">Generate CEOS format metadata to accompany product layers.</w:t>
      </w:r>
    </w:p>
    <w:p>
      <w:pPr>
        <w:pStyle w:val="Compact"/>
        <w:numPr>
          <w:ilvl w:val="0"/>
          <w:numId w:val="1097"/>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276"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276"/>
    <w:bookmarkEnd w:id="277"/>
    <w:bookmarkStart w:id="302" w:name="sec:annex-sar-orb-example"/>
    <w:p>
      <w:pPr>
        <w:pStyle w:val="berschrift3"/>
      </w:pPr>
      <w:r>
        <w:t xml:space="preserve">Ocean Radar Backscatter example</w:t>
      </w:r>
    </w:p>
    <w:p>
      <w:pPr>
        <w:pStyle w:val="FirstParagraph"/>
      </w:pPr>
      <w:r>
        <w:t xml:space="preserve">In contrast to NRB and POL, CEOS-ARD Ocean Radar Backscatter ORB products are geoid corrected and are provided in the Sigma-Nought (</w:t>
      </w:r>
      <m:oMath>
        <m:sSubSup>
          <m:e>
            <m:r>
              <m:t>σ</m:t>
            </m:r>
          </m:e>
          <m:sub>
            <m:r>
              <m:t>E</m:t>
            </m:r>
          </m:sub>
          <m:sup>
            <m:r>
              <m:t>0</m:t>
            </m:r>
          </m:sup>
        </m:sSubSup>
      </m:oMath>
      <w:r>
        <w:t xml:space="preserve">) backscatter convention (Figure </w:t>
      </w:r>
      <w:hyperlink w:anchor="fig:sar-orb-example-fig1a">
        <w:r>
          <w:rPr>
            <w:rStyle w:val="Hyperlink"/>
          </w:rPr>
          <w:t xml:space="preserve">1</w:t>
        </w:r>
      </w:hyperlink>
      <w:r>
        <w:t xml:space="preserve">), which is recommended for most ocean applications. In addition, availability of the “Local (or Ellipsoidal) Incidence Angle Image” (Figure </w:t>
      </w:r>
      <w:hyperlink w:anchor="fig:sar-orb-example-fig1d">
        <w:r>
          <w:rPr>
            <w:rStyle w:val="Hyperlink"/>
          </w:rPr>
          <w:t xml:space="preserve">4</w:t>
        </w:r>
      </w:hyperlink>
      <w:r>
        <w:t xml:space="preserve">) and “Look Direction Image” per-pixel metadata are highly recommended (otherwise the general metadata “Look Direction Polynomials”) since they required for operational applications like ocean wind field estimates.</w:t>
      </w:r>
    </w:p>
    <w:p>
      <w:pPr>
        <w:pStyle w:val="Textkrper"/>
      </w:pPr>
      <w:r>
        <w:t xml:space="preserve">The following figures show Sentinel-1 ORB products of the Tropical Cyclone Harold passing Vanuatu on April 6, 2020:</w:t>
      </w:r>
    </w:p>
    <w:bookmarkStart w:id="281" w:name="fig:sar-orb-example-fig1a"/>
    <w:p>
      <w:pPr>
        <w:pStyle w:val="CaptionedFigure"/>
      </w:pPr>
      <w:r>
        <w:drawing>
          <wp:inline>
            <wp:extent cx="3810000" cy="2540000"/>
            <wp:effectExtent b="0" l="0" r="0" t="0"/>
            <wp:docPr descr="Figure 1: VV intensity; Processing: A. Rosenqvist (soloEO)" title="" id="279" name="Picture"/>
            <a:graphic>
              <a:graphicData uri="http://schemas.openxmlformats.org/drawingml/2006/picture">
                <pic:pic>
                  <pic:nvPicPr>
                    <pic:cNvPr descr="assets/sar-orb-examples/S1-ORB-VV.png" id="280" name="Picture"/>
                    <pic:cNvPicPr>
                      <a:picLocks noChangeArrowheads="1" noChangeAspect="1"/>
                    </pic:cNvPicPr>
                  </pic:nvPicPr>
                  <pic:blipFill>
                    <a:blip r:embed="rId27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1: VV intensity; Processing: A. Rosenqvist (soloEO)</w:t>
      </w:r>
    </w:p>
    <w:bookmarkEnd w:id="281"/>
    <w:bookmarkStart w:id="285" w:name="fig:sar-orb-example-fig1b"/>
    <w:p>
      <w:pPr>
        <w:pStyle w:val="CaptionedFigure"/>
      </w:pPr>
      <w:r>
        <w:drawing>
          <wp:inline>
            <wp:extent cx="3810000" cy="2540000"/>
            <wp:effectExtent b="0" l="0" r="0" t="0"/>
            <wp:docPr descr="Figure 2: VH intensity; Processing: A. Rosenqvist (soloEO)" title="" id="283" name="Picture"/>
            <a:graphic>
              <a:graphicData uri="http://schemas.openxmlformats.org/drawingml/2006/picture">
                <pic:pic>
                  <pic:nvPicPr>
                    <pic:cNvPr descr="assets/sar-orb-examples/S1-ORB-VH.png" id="284" name="Picture"/>
                    <pic:cNvPicPr>
                      <a:picLocks noChangeArrowheads="1" noChangeAspect="1"/>
                    </pic:cNvPicPr>
                  </pic:nvPicPr>
                  <pic:blipFill>
                    <a:blip r:embed="rId28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2: VH intensity; Processing: A. Rosenqvist (soloEO)</w:t>
      </w:r>
    </w:p>
    <w:bookmarkEnd w:id="285"/>
    <w:bookmarkStart w:id="289" w:name="fig:sar-orb-example-fig1c"/>
    <w:p>
      <w:pPr>
        <w:pStyle w:val="CaptionedFigure"/>
      </w:pPr>
      <w:r>
        <w:drawing>
          <wp:inline>
            <wp:extent cx="3810000" cy="2540000"/>
            <wp:effectExtent b="0" l="0" r="0" t="0"/>
            <wp:docPr descr="Figure 3: Data mask image; Processing: A. Rosenqvist (soloEO)" title="" id="287" name="Picture"/>
            <a:graphic>
              <a:graphicData uri="http://schemas.openxmlformats.org/drawingml/2006/picture">
                <pic:pic>
                  <pic:nvPicPr>
                    <pic:cNvPr descr="assets/sar-orb-examples/S1-ORB-data-mask.png" id="288" name="Picture"/>
                    <pic:cNvPicPr>
                      <a:picLocks noChangeArrowheads="1" noChangeAspect="1"/>
                    </pic:cNvPicPr>
                  </pic:nvPicPr>
                  <pic:blipFill>
                    <a:blip r:embed="rId28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3: Data mask image; Processing: A. Rosenqvist (soloEO)</w:t>
      </w:r>
    </w:p>
    <w:bookmarkEnd w:id="289"/>
    <w:bookmarkStart w:id="293" w:name="fig:sar-orb-example-fig1d"/>
    <w:p>
      <w:pPr>
        <w:pStyle w:val="CaptionedFigure"/>
      </w:pPr>
      <w:r>
        <w:drawing>
          <wp:inline>
            <wp:extent cx="3810000" cy="2540000"/>
            <wp:effectExtent b="0" l="0" r="0" t="0"/>
            <wp:docPr descr="Figure 4: Local incident angle; Processing: A. Rosenqvist (soloEO)" title="" id="291" name="Picture"/>
            <a:graphic>
              <a:graphicData uri="http://schemas.openxmlformats.org/drawingml/2006/picture">
                <pic:pic>
                  <pic:nvPicPr>
                    <pic:cNvPr descr="assets/sar-orb-examples/S1-ORB-local-indicident-angle.png" id="292" name="Picture"/>
                    <pic:cNvPicPr>
                      <a:picLocks noChangeArrowheads="1" noChangeAspect="1"/>
                    </pic:cNvPicPr>
                  </pic:nvPicPr>
                  <pic:blipFill>
                    <a:blip r:embed="rId29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4: Local incident angle; Processing: A. Rosenqvist (soloEO)</w:t>
      </w:r>
    </w:p>
    <w:bookmarkEnd w:id="293"/>
    <w:p>
      <w:pPr>
        <w:pStyle w:val="Textkrper"/>
      </w:pPr>
      <w:r>
        <w:t xml:space="preserve">Another useful file is the “Mean Wind-Normalised Backscatter Measurements” (Figure </w:t>
      </w:r>
      <w:hyperlink w:anchor="fig:sar-orb-example-fig2b">
        <w:r>
          <w:rPr>
            <w:rStyle w:val="Hyperlink"/>
          </w:rPr>
          <w:t xml:space="preserve">6</w:t>
        </w:r>
      </w:hyperlink>
      <w:r>
        <w:t xml:space="preserve">) which efficiently attenuates intensity variation along range and visually enhances oceanic features. This file is calculated as the ratio between the backscatter intensity and a simulated backscatter intensity image generated using an ocean surface wind model, like CMOD_IRF2</w:t>
      </w:r>
      <w:r>
        <w:t xml:space="preserve"> </w:t>
      </w:r>
      <w:r>
        <w:t xml:space="preserve">(</w:t>
      </w:r>
      <w:hyperlink w:anchor="ref-quilfen1998">
        <w:r>
          <w:rPr>
            <w:rStyle w:val="Hyperlink"/>
          </w:rPr>
          <w:t xml:space="preserve">Yves et al. 1998</w:t>
        </w:r>
      </w:hyperlink>
      <w:r>
        <w:t xml:space="preserve">)</w:t>
      </w:r>
      <w:r>
        <w:t xml:space="preserve"> </w:t>
      </w:r>
      <w:r>
        <w:t xml:space="preserve">for VV polarization or CMOD_IRF2K</w:t>
      </w:r>
      <w:r>
        <w:t xml:space="preserve"> </w:t>
      </w:r>
      <w:r>
        <w:t xml:space="preserve">(</w:t>
      </w:r>
      <w:hyperlink w:anchor="ref-vachon2000">
        <w:r>
          <w:rPr>
            <w:rStyle w:val="Hyperlink"/>
          </w:rPr>
          <w:t xml:space="preserve">Vachon and Dobson 2000</w:t>
        </w:r>
      </w:hyperlink>
      <w:r>
        <w:t xml:space="preserve">)</w:t>
      </w:r>
      <w:r>
        <w:t xml:space="preserve"> </w:t>
      </w:r>
      <w:r>
        <w:t xml:space="preserve">for HH polarization, and the SAR local incidence angle and the look direction information.</w:t>
      </w:r>
    </w:p>
    <w:p>
      <w:pPr>
        <w:pStyle w:val="Textkrper"/>
      </w:pPr>
      <w:r>
        <w:t xml:space="preserve">The following figures show Sentinel-1 EW ORB products:</w:t>
      </w:r>
    </w:p>
    <w:bookmarkStart w:id="297" w:name="fig:sar-orb-example-fig2a"/>
    <w:p>
      <w:pPr>
        <w:pStyle w:val="CaptionedFigure"/>
      </w:pPr>
      <w:r>
        <w:drawing>
          <wp:inline>
            <wp:extent cx="3810000" cy="2540000"/>
            <wp:effectExtent b="0" l="0" r="0" t="0"/>
            <wp:docPr descr="Figure 5: ORB intensity (Sigma-Nought); Processing: G. Hajduch (CLS)" title="" id="295" name="Picture"/>
            <a:graphic>
              <a:graphicData uri="http://schemas.openxmlformats.org/drawingml/2006/picture">
                <pic:pic>
                  <pic:nvPicPr>
                    <pic:cNvPr descr="assets/sar-orb-examples/S1-ORB-sigma-nought.png" id="296" name="Picture"/>
                    <pic:cNvPicPr>
                      <a:picLocks noChangeArrowheads="1" noChangeAspect="1"/>
                    </pic:cNvPicPr>
                  </pic:nvPicPr>
                  <pic:blipFill>
                    <a:blip r:embed="rId29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5: ORB intensity (Sigma-Nought); Processing: G. Hajduch (CLS)</w:t>
      </w:r>
    </w:p>
    <w:bookmarkEnd w:id="297"/>
    <w:bookmarkStart w:id="301" w:name="fig:sar-orb-example-fig2b"/>
    <w:p>
      <w:pPr>
        <w:pStyle w:val="CaptionedFigure"/>
      </w:pPr>
      <w:r>
        <w:drawing>
          <wp:inline>
            <wp:extent cx="3810000" cy="2540000"/>
            <wp:effectExtent b="0" l="0" r="0" t="0"/>
            <wp:docPr descr="Figure 6: Intensity compensated with the “Mean Wind-Normalised Backscatter Measurement” (i.e., not Sigma-Nought) and geocoded; Processing: G. Hajduch (CLS)" title="" id="299" name="Picture"/>
            <a:graphic>
              <a:graphicData uri="http://schemas.openxmlformats.org/drawingml/2006/picture">
                <pic:pic>
                  <pic:nvPicPr>
                    <pic:cNvPr descr="assets/sar-orb-examples/S1-ORB-intesity-compensated.png" id="300" name="Picture"/>
                    <pic:cNvPicPr>
                      <a:picLocks noChangeArrowheads="1" noChangeAspect="1"/>
                    </pic:cNvPicPr>
                  </pic:nvPicPr>
                  <pic:blipFill>
                    <a:blip r:embed="rId29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6: Intensity compensated with the “Mean Wind-Normalised Backscatter Measurement” (i.e., not Sigma-Nought) and geocoded; Processing: G. Hajduch (CLS)</w:t>
      </w:r>
    </w:p>
    <w:bookmarkEnd w:id="301"/>
    <w:bookmarkEnd w:id="302"/>
    <w:bookmarkEnd w:id="303"/>
    <w:bookmarkEnd w:id="304"/>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7">
    <w:p>
      <w:pPr>
        <w:pStyle w:val="Funotentext"/>
      </w:pPr>
      <w:r>
        <w:rPr>
          <w:rStyle w:val="Funotenzeichen"/>
        </w:rPr>
        <w:footnoteRef/>
      </w:r>
      <w:r>
        <w:t xml:space="preserve"> </w:t>
      </w:r>
      <w:r>
        <w:t xml:space="preserve">The look direction angle represents the planar angle between north and each range direction. It is not constant in range, especially close to the poles.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image" Id="rId282" Target="media/rId282.png" /><Relationship Type="http://schemas.openxmlformats.org/officeDocument/2006/relationships/image" Id="rId278" Target="media/rId278.png" /><Relationship Type="http://schemas.openxmlformats.org/officeDocument/2006/relationships/image" Id="rId286" Target="media/rId286.png" /><Relationship Type="http://schemas.openxmlformats.org/officeDocument/2006/relationships/image" Id="rId298" Target="media/rId298.png" /><Relationship Type="http://schemas.openxmlformats.org/officeDocument/2006/relationships/image" Id="rId290" Target="media/rId290.png" /><Relationship Type="http://schemas.openxmlformats.org/officeDocument/2006/relationships/image" Id="rId294" Target="media/rId294.png" /><Relationship Type="http://schemas.openxmlformats.org/officeDocument/2006/relationships/hyperlink" Id="rId26" Target="https://ceos.org/ard" TargetMode="External" /><Relationship Type="http://schemas.openxmlformats.org/officeDocument/2006/relationships/hyperlink" Id="rId251"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68" Target="https://doi.org/10.1029/97JC01911" TargetMode="External" /><Relationship Type="http://schemas.openxmlformats.org/officeDocument/2006/relationships/hyperlink" Id="rId266" Target="https://doi.org/10.1080/07038992.2000.10874781" TargetMode="External" /><Relationship Type="http://schemas.openxmlformats.org/officeDocument/2006/relationships/hyperlink" Id="rId270" Target="https://doi.org/10.1109/LGRS.2017.2753580" TargetMode="External" /><Relationship Type="http://schemas.openxmlformats.org/officeDocument/2006/relationships/hyperlink" Id="rId260" Target="https://doi.org/10.1109/TGRS.2008.2002881" TargetMode="External" /><Relationship Type="http://schemas.openxmlformats.org/officeDocument/2006/relationships/hyperlink" Id="rId272" Target="https://doi.org/10.1109/TGRS.2010.2051333" TargetMode="External" /><Relationship Type="http://schemas.openxmlformats.org/officeDocument/2006/relationships/hyperlink" Id="rId264" Target="https://doi.org/10.1109/TGRS.2011.2120616" TargetMode="External" /><Relationship Type="http://schemas.openxmlformats.org/officeDocument/2006/relationships/hyperlink" Id="rId262" Target="https://doi.org/10.1109/TGRS.2022.3147472" TargetMode="External" /><Relationship Type="http://schemas.openxmlformats.org/officeDocument/2006/relationships/hyperlink" Id="rId256"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51"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68" Target="https://doi.org/10.1029/97JC01911" TargetMode="External" /><Relationship Type="http://schemas.openxmlformats.org/officeDocument/2006/relationships/hyperlink" Id="rId266" Target="https://doi.org/10.1080/07038992.2000.10874781" TargetMode="External" /><Relationship Type="http://schemas.openxmlformats.org/officeDocument/2006/relationships/hyperlink" Id="rId270" Target="https://doi.org/10.1109/LGRS.2017.2753580" TargetMode="External" /><Relationship Type="http://schemas.openxmlformats.org/officeDocument/2006/relationships/hyperlink" Id="rId260" Target="https://doi.org/10.1109/TGRS.2008.2002881" TargetMode="External" /><Relationship Type="http://schemas.openxmlformats.org/officeDocument/2006/relationships/hyperlink" Id="rId272" Target="https://doi.org/10.1109/TGRS.2010.2051333" TargetMode="External" /><Relationship Type="http://schemas.openxmlformats.org/officeDocument/2006/relationships/hyperlink" Id="rId264" Target="https://doi.org/10.1109/TGRS.2011.2120616" TargetMode="External" /><Relationship Type="http://schemas.openxmlformats.org/officeDocument/2006/relationships/hyperlink" Id="rId262" Target="https://doi.org/10.1109/TGRS.2022.3147472" TargetMode="External" /><Relationship Type="http://schemas.openxmlformats.org/officeDocument/2006/relationships/hyperlink" Id="rId256"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Ocean Radar Backscatter - Version 1.1.0-draft</dc:title>
  <dc:creator/>
  <dc:language>en</dc:language>
  <cp:keywords/>
  <dcterms:created xsi:type="dcterms:W3CDTF">2026-09-15T18:54:02Z</dcterms:created>
  <dcterms:modified xsi:type="dcterms:W3CDTF">2026-09-15T18:54:02Z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/home/runner/work/ceos-ard/ceos-ard/build/ORB.bib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