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216" w:name="Xace07e6e84a20a798737796089e457c2649c17a"/>
    <w:p>
      <w:pPr>
        <w:pStyle w:val="berschrift1"/>
      </w:pPr>
      <w:r>
        <w:t xml:space="preserve">CEOS-ARD - Optical - Nighttime Lights Surface Radiance</w:t>
      </w:r>
    </w:p>
    <w:p>
      <w:pPr>
        <w:pStyle w:val="FirstParagraph"/>
      </w:pPr>
      <w:r>
        <w:t xml:space="preserve"> </w:t>
      </w:r>
    </w:p>
    <w:bookmarkStart w:id="24"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3">
        <w:r>
          <w:rPr>
            <w:rStyle w:val="Hyperlink"/>
          </w:rPr>
          <w:t xml:space="preserve">CEOS-ARD website</w:t>
        </w:r>
      </w:hyperlink>
      <w:r>
        <w:t xml:space="preserve"> </w:t>
      </w:r>
      <w:r>
        <w:t xml:space="preserve">for the latest endorsed version of this document.</w:t>
      </w:r>
    </w:p>
    <w:bookmarkEnd w:id="24"/>
    <w:bookmarkStart w:id="26" w:name="document-status"/>
    <w:p>
      <w:pPr>
        <w:pStyle w:val="berschrift2"/>
      </w:pPr>
      <w:r>
        <w:t xml:space="preserve">Document Status</w:t>
      </w:r>
    </w:p>
    <w:p>
      <w:pPr>
        <w:pStyle w:val="FirstParagraph"/>
      </w:pPr>
      <w:r>
        <w:t xml:space="preserve">Product Family Specification, Optical, Nighttime Lights Surface Radiance</w:t>
      </w:r>
    </w:p>
    <w:p>
      <w:pPr>
        <w:pStyle w:val="Textkrper"/>
      </w:pPr>
      <w:r>
        <w:t xml:space="preserve">Proposed revisions may be provided to:</w:t>
      </w:r>
      <w:r>
        <w:t xml:space="preserve"> </w:t>
      </w:r>
      <w:hyperlink r:id="rId25">
        <w:r>
          <w:rPr>
            <w:rStyle w:val="Hyperlink"/>
          </w:rPr>
          <w:t xml:space="preserve">ard-contact@lists.ceos.org</w:t>
        </w:r>
      </w:hyperlink>
    </w:p>
    <w:bookmarkEnd w:id="26"/>
    <w:bookmarkStart w:id="28" w:name="document-history"/>
    <w:p>
      <w:pPr>
        <w:pStyle w:val="berschrift2"/>
      </w:pPr>
      <w:r>
        <w:t xml:space="preserve">Document History</w:t>
      </w:r>
    </w:p>
    <w:bookmarkStart w:id="27"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7"/>
    <w:bookmarkEnd w:id="28"/>
    <w:bookmarkStart w:id="29" w:name="contributing-authors"/>
    <w:p>
      <w:pPr>
        <w:pStyle w:val="berschrift2"/>
      </w:pPr>
      <w:r>
        <w:t xml:space="preserve">Contributing Authors</w:t>
      </w:r>
    </w:p>
    <w:p>
      <w:pPr>
        <w:pStyle w:val="Compact"/>
        <w:numPr>
          <w:ilvl w:val="0"/>
          <w:numId w:val="1002"/>
        </w:numPr>
      </w:pPr>
      <w:r>
        <w:t xml:space="preserve">Brian Killough, NASA Langley Research Center, CEOS Systems Engineering Office, USA</w:t>
      </w:r>
    </w:p>
    <w:p>
      <w:pPr>
        <w:pStyle w:val="Compact"/>
        <w:numPr>
          <w:ilvl w:val="0"/>
          <w:numId w:val="1002"/>
        </w:numPr>
      </w:pPr>
      <w:r>
        <w:t xml:space="preserve">Bhaskar Ramachandran, NASA Goddard Space Flight Center, USA</w:t>
      </w:r>
    </w:p>
    <w:p>
      <w:pPr>
        <w:pStyle w:val="Compact"/>
        <w:numPr>
          <w:ilvl w:val="0"/>
          <w:numId w:val="1002"/>
        </w:numPr>
      </w:pPr>
      <w:r>
        <w:t xml:space="preserve">Miguel Román, Leidos Inc., Civil Group, USA</w:t>
      </w:r>
    </w:p>
    <w:p>
      <w:pPr>
        <w:pStyle w:val="Compact"/>
        <w:numPr>
          <w:ilvl w:val="0"/>
          <w:numId w:val="1002"/>
        </w:numPr>
      </w:pPr>
      <w:r>
        <w:t xml:space="preserve">Zhuosen Wang, University of Maryland/GSFC, USA</w:t>
      </w:r>
    </w:p>
    <w:p>
      <w:r>
        <w:br w:type="page"/>
      </w:r>
    </w:p>
    <w:bookmarkEnd w:id="29"/>
    <w:bookmarkStart w:id="30"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0"/>
    <w:bookmarkStart w:id="31" w:name="description"/>
    <w:p>
      <w:pPr>
        <w:pStyle w:val="berschrift2"/>
      </w:pPr>
      <w:r>
        <w:t xml:space="preserve">Description</w:t>
      </w:r>
    </w:p>
    <w:p>
      <w:pPr>
        <w:pStyle w:val="FirstParagraph"/>
      </w:pPr>
      <w:r>
        <w:rPr>
          <w:b/>
          <w:bCs/>
        </w:rPr>
        <w:t xml:space="preserve">Product Family Specification:</w:t>
      </w:r>
      <w:r>
        <w:t xml:space="preserve"> </w:t>
      </w:r>
      <w:r>
        <w:t xml:space="preserve">Optical, Nighttime Lights Surface Radiance (NLSR)</w:t>
      </w:r>
    </w:p>
    <w:p>
      <w:pPr>
        <w:pStyle w:val="Textkrper"/>
      </w:pPr>
      <w:r>
        <w:rPr>
          <w:b/>
          <w:bCs/>
        </w:rPr>
        <w:t xml:space="preserve">Version:</w:t>
      </w:r>
      <w:r>
        <w:t xml:space="preserve"> </w:t>
      </w:r>
      <w:r>
        <w:t xml:space="preserve">1.0.1-draft</w:t>
      </w:r>
    </w:p>
    <w:p>
      <w:pPr>
        <w:pStyle w:val="Textkrper"/>
      </w:pPr>
      <w:r>
        <w:rPr>
          <w:b/>
          <w:bCs/>
        </w:rPr>
        <w:t xml:space="preserve">Applies to:</w:t>
      </w:r>
      <w:r>
        <w:t xml:space="preserve"> </w:t>
      </w:r>
      <w:r>
        <w:t xml:space="preserve">Data collected by Synthetic Aperture Radar sensors</w:t>
      </w:r>
    </w:p>
    <w:bookmarkEnd w:id="31"/>
    <w:bookmarkStart w:id="32" w:name="background"/>
    <w:p>
      <w:pPr>
        <w:pStyle w:val="berschrift2"/>
      </w:pPr>
      <w:r>
        <w:t xml:space="preserve">Background</w:t>
      </w:r>
    </w:p>
    <w:p>
      <w:pPr>
        <w:pStyle w:val="FirstParagraph"/>
      </w:pPr>
      <w:r>
        <w:t xml:space="preserve">Data collected with nighttime light sensors operating in the VIS/NIR wavelengths.</w:t>
      </w:r>
      <w:r>
        <w:t xml:space="preserve"> </w:t>
      </w:r>
      <w:r>
        <w:t xml:space="preserve">These typically operate with ground sample distance and resolution in the order of 10-1000m;</w:t>
      </w:r>
      <w:r>
        <w:t xml:space="preserve"> </w:t>
      </w:r>
      <w:r>
        <w:t xml:space="preserve">however, the Specification is not inherently limited to this resolution.</w:t>
      </w:r>
    </w:p>
    <w:p>
      <w:r>
        <w:br w:type="page"/>
      </w:r>
    </w:p>
    <w:bookmarkEnd w:id="32"/>
    <w:bookmarkStart w:id="33"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NLSR</w:t>
      </w:r>
    </w:p>
    <w:p>
      <w:pPr>
        <w:pStyle w:val="Definition"/>
      </w:pPr>
      <w:r>
        <w:t xml:space="preserve">Nighttime Lights Surface Radiance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3"/>
    <w:bookmarkStart w:id="19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7" w:name="sec:meta-trace-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meta-trace-sr</w:t>
      </w:r>
    </w:p>
    <w:bookmarkStart w:id="34" w:name="threshold-requirements"/>
    <w:p>
      <w:pPr>
        <w:pStyle w:val="berschrift5"/>
      </w:pPr>
      <w:r>
        <w:t xml:space="preserve">Threshold requirements:</w:t>
      </w:r>
    </w:p>
    <w:p>
      <w:pPr>
        <w:pStyle w:val="FirstParagraph"/>
      </w:pPr>
      <w:r>
        <w:t xml:space="preserve">Not required.</w:t>
      </w:r>
      <w:r>
        <w:t xml:space="preserve"> </w:t>
      </w:r>
    </w:p>
    <w:bookmarkEnd w:id="34"/>
    <w:bookmarkStart w:id="35"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ac-muncer-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5"/>
    <w:bookmarkStart w:id="36"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6"/>
    <w:bookmarkEnd w:id="37"/>
    <w:bookmarkStart w:id="41"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38"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8"/>
    <w:bookmarkStart w:id="39"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9"/>
    <w:bookmarkStart w:id="40"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0"/>
    <w:bookmarkEnd w:id="41"/>
    <w:bookmarkStart w:id="45" w:name="sec:me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meta-time-sr</w:t>
      </w:r>
    </w:p>
    <w:bookmarkStart w:id="42"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2"/>
    <w:bookmarkStart w:id="43"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3"/>
    <w:bookmarkStart w:id="44"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4"/>
    <w:bookmarkEnd w:id="45"/>
    <w:bookmarkStart w:id="49" w:name="sec:meta-geoarea-optical"/>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46"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46"/>
    <w:bookmarkStart w:id="47"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7"/>
    <w:bookmarkStart w:id="48"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8"/>
    <w:bookmarkEnd w:id="49"/>
    <w:bookmarkStart w:id="53"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0" w:name="threshold-requirements-4"/>
    <w:p>
      <w:pPr>
        <w:pStyle w:val="berschrift5"/>
      </w:pPr>
      <w:r>
        <w:t xml:space="preserve">Threshold requirements:</w:t>
      </w:r>
    </w:p>
    <w:p>
      <w:pPr>
        <w:pStyle w:val="FirstParagraph"/>
      </w:pPr>
      <w:r>
        <w:t xml:space="preserve">The metadata lists the coordinate reference system that has been used.</w:t>
      </w:r>
    </w:p>
    <w:bookmarkEnd w:id="50"/>
    <w:bookmarkStart w:id="51" w:name="goal-requirements-4"/>
    <w:p>
      <w:pPr>
        <w:pStyle w:val="berschrift5"/>
      </w:pPr>
      <w:r>
        <w:t xml:space="preserve">Goal requirements:</w:t>
      </w:r>
    </w:p>
    <w:p>
      <w:pPr>
        <w:pStyle w:val="FirstParagraph"/>
      </w:pPr>
      <w:r>
        <w:t xml:space="preserve">As threshold.</w:t>
      </w:r>
      <w:r>
        <w:t xml:space="preserve"> </w:t>
      </w:r>
    </w:p>
    <w:bookmarkEnd w:id="51"/>
    <w:bookmarkStart w:id="52"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2"/>
    <w:bookmarkEnd w:id="53"/>
    <w:bookmarkStart w:id="57" w:name="sec:meta-mapproj-nl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meta-mapproj-nlsr</w:t>
      </w:r>
    </w:p>
    <w:bookmarkStart w:id="54" w:name="threshold-requirements-5"/>
    <w:p>
      <w:pPr>
        <w:pStyle w:val="berschrift5"/>
      </w:pPr>
      <w:r>
        <w:t xml:space="preserve">Threshold requirements:</w:t>
      </w:r>
    </w:p>
    <w:p>
      <w:pPr>
        <w:pStyle w:val="FirstParagraph"/>
      </w:pPr>
      <w:r>
        <w:t xml:space="preserve">The metadata lists the map projection that has been used and any relevant parameters required in relation to use of data in that map projection.</w:t>
      </w:r>
    </w:p>
    <w:bookmarkEnd w:id="54"/>
    <w:bookmarkStart w:id="55" w:name="goal-requirements-5"/>
    <w:p>
      <w:pPr>
        <w:pStyle w:val="berschrift5"/>
      </w:pPr>
      <w:r>
        <w:t xml:space="preserve">Goal requirements:</w:t>
      </w:r>
    </w:p>
    <w:p>
      <w:pPr>
        <w:pStyle w:val="FirstParagraph"/>
      </w:pPr>
      <w:r>
        <w:t xml:space="preserve">As threshold.</w:t>
      </w:r>
      <w:r>
        <w:t xml:space="preserve"> </w:t>
      </w:r>
    </w:p>
    <w:bookmarkEnd w:id="55"/>
    <w:bookmarkStart w:id="56"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6"/>
    <w:bookmarkEnd w:id="57"/>
    <w:bookmarkStart w:id="61" w:name="sec:meta-geocor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meta-geocorm-sr</w:t>
      </w:r>
    </w:p>
    <w:bookmarkStart w:id="58" w:name="threshold-requirements-6"/>
    <w:p>
      <w:pPr>
        <w:pStyle w:val="berschrift5"/>
      </w:pPr>
      <w:r>
        <w:t xml:space="preserve">Threshold requirements:</w:t>
      </w:r>
    </w:p>
    <w:p>
      <w:pPr>
        <w:pStyle w:val="FirstParagraph"/>
      </w:pPr>
      <w:r>
        <w:t xml:space="preserve">Not required.</w:t>
      </w:r>
      <w:r>
        <w:t xml:space="preserve"> </w:t>
      </w:r>
    </w:p>
    <w:bookmarkEnd w:id="58"/>
    <w:bookmarkStart w:id="59"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9"/>
    <w:bookmarkStart w:id="60"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0"/>
    <w:bookmarkEnd w:id="61"/>
    <w:bookmarkStart w:id="65" w:name="sec:meta-geoacc-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meta-geoacc-sr</w:t>
      </w:r>
    </w:p>
    <w:bookmarkStart w:id="62" w:name="threshold-requirements-7"/>
    <w:p>
      <w:pPr>
        <w:pStyle w:val="berschrift5"/>
      </w:pPr>
      <w:r>
        <w:t xml:space="preserve">Threshold requirements:</w:t>
      </w:r>
    </w:p>
    <w:p>
      <w:pPr>
        <w:pStyle w:val="FirstParagraph"/>
      </w:pPr>
      <w:r>
        <w:t xml:space="preserve">Not required.</w:t>
      </w:r>
      <w:r>
        <w:t xml:space="preserve"> </w:t>
      </w:r>
    </w:p>
    <w:bookmarkEnd w:id="62"/>
    <w:bookmarkStart w:id="63"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w:t>
      </w:r>
    </w:p>
    <w:p>
      <w:pPr>
        <w:pStyle w:val="Compact"/>
        <w:numPr>
          <w:ilvl w:val="0"/>
          <w:numId w:val="1011"/>
        </w:numPr>
      </w:pPr>
      <w:r>
        <w:t xml:space="preserve">Information on geometric accuracy of the data should be available in the metadata as a single DOI landing page.</w:t>
      </w:r>
    </w:p>
    <w:bookmarkEnd w:id="63"/>
    <w:bookmarkStart w:id="64"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4"/>
    <w:bookmarkEnd w:id="65"/>
    <w:bookmarkStart w:id="69"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6" w:name="threshold-requirements-8"/>
    <w:p>
      <w:pPr>
        <w:pStyle w:val="berschrift5"/>
      </w:pPr>
      <w:r>
        <w:t xml:space="preserve">Threshold requirements:</w:t>
      </w:r>
    </w:p>
    <w:p>
      <w:pPr>
        <w:pStyle w:val="FirstParagraph"/>
      </w:pPr>
      <w:r>
        <w:t xml:space="preserve">The instrument used to collect the data is identified in the metadata.</w:t>
      </w:r>
    </w:p>
    <w:bookmarkEnd w:id="66"/>
    <w:bookmarkStart w:id="67"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7"/>
    <w:bookmarkStart w:id="68"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8"/>
    <w:bookmarkEnd w:id="69"/>
    <w:bookmarkStart w:id="73"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0"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0"/>
    <w:bookmarkStart w:id="71"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4"/>
        </w:numPr>
      </w:pPr>
      <w:r>
        <w:t xml:space="preserve">Information on spectral bands should be available in the metadata as a single DOI landing page.</w:t>
      </w:r>
    </w:p>
    <w:bookmarkEnd w:id="71"/>
    <w:bookmarkStart w:id="72"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2"/>
    <w:bookmarkEnd w:id="73"/>
    <w:bookmarkStart w:id="77"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4" w:name="threshold-requirements-10"/>
    <w:p>
      <w:pPr>
        <w:pStyle w:val="berschrift5"/>
      </w:pPr>
      <w:r>
        <w:t xml:space="preserve">Threshold requirements:</w:t>
      </w:r>
    </w:p>
    <w:p>
      <w:pPr>
        <w:pStyle w:val="FirstParagraph"/>
      </w:pPr>
      <w:r>
        <w:t xml:space="preserve">Not required.</w:t>
      </w:r>
      <w:r>
        <w:t xml:space="preserve"> </w:t>
      </w:r>
    </w:p>
    <w:bookmarkEnd w:id="74"/>
    <w:bookmarkStart w:id="75"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6"/>
        </w:numPr>
      </w:pPr>
      <w:r>
        <w:t xml:space="preserve">Information on sensory calibration should be available in the metadata as a single DOI landing page.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meta-radacc-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meta-radacc-sr</w:t>
      </w:r>
    </w:p>
    <w:bookmarkStart w:id="78" w:name="threshold-requirements-11"/>
    <w:p>
      <w:pPr>
        <w:pStyle w:val="berschrift5"/>
      </w:pPr>
      <w:r>
        <w:t xml:space="preserve">Threshold requirements:</w:t>
      </w:r>
    </w:p>
    <w:p>
      <w:pPr>
        <w:pStyle w:val="FirstParagraph"/>
      </w:pPr>
      <w:r>
        <w:t xml:space="preserve">Not required.</w:t>
      </w:r>
      <w:r>
        <w:t xml:space="preserve"> </w:t>
      </w:r>
    </w:p>
    <w:bookmarkEnd w:id="78"/>
    <w:bookmarkStart w:id="79"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w:t>
      </w:r>
    </w:p>
    <w:p>
      <w:pPr>
        <w:pStyle w:val="Compact"/>
        <w:numPr>
          <w:ilvl w:val="0"/>
          <w:numId w:val="1018"/>
        </w:numPr>
      </w:pPr>
      <w:r>
        <w:t xml:space="preserve">Information on radiometric accuracy should be available in the metadata as a single DOI landing page.</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meta-malgo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meta-malgos-sr</w:t>
      </w:r>
    </w:p>
    <w:bookmarkStart w:id="82"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w:t>
      </w:r>
    </w:p>
    <w:p>
      <w:pPr>
        <w:pStyle w:val="Compact"/>
        <w:numPr>
          <w:ilvl w:val="0"/>
          <w:numId w:val="1020"/>
        </w:numPr>
      </w:pPr>
      <w:r>
        <w:t xml:space="preserve">Information on algorithms should be available in the metadata as a single DOI landing page.</w:t>
      </w:r>
    </w:p>
    <w:bookmarkEnd w:id="82"/>
    <w:bookmarkStart w:id="83"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3"/>
    <w:bookmarkStart w:id="84"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4"/>
    <w:bookmarkEnd w:id="85"/>
    <w:bookmarkStart w:id="89"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6"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86"/>
    <w:bookmarkStart w:id="87"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7"/>
    <w:bookmarkStart w:id="88"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8"/>
    <w:bookmarkEnd w:id="89"/>
    <w:bookmarkStart w:id="93" w:name="sec:meta-proprov-nl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meta-proprov-nlsr</w:t>
      </w:r>
    </w:p>
    <w:bookmarkStart w:id="90" w:name="threshold-requirements-14"/>
    <w:p>
      <w:pPr>
        <w:pStyle w:val="berschrift5"/>
      </w:pPr>
      <w:r>
        <w:t xml:space="preserve">Threshold requirements:</w:t>
      </w:r>
    </w:p>
    <w:p>
      <w:pPr>
        <w:pStyle w:val="FirstParagraph"/>
      </w:pPr>
      <w:r>
        <w:t xml:space="preserve">Not required.</w:t>
      </w:r>
      <w:r>
        <w:t xml:space="preserve"> </w:t>
      </w:r>
    </w:p>
    <w:bookmarkEnd w:id="90"/>
    <w:bookmarkStart w:id="91"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the organization that performed the processing, and the versions of software used, giving full transparency to the users.</w:t>
      </w:r>
    </w:p>
    <w:bookmarkEnd w:id="91"/>
    <w:bookmarkStart w:id="92"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2"/>
    <w:bookmarkEnd w:id="93"/>
    <w:bookmarkStart w:id="97"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4"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4"/>
    <w:bookmarkStart w:id="95" w:name="goal-requirements-15"/>
    <w:p>
      <w:pPr>
        <w:pStyle w:val="berschrift5"/>
      </w:pPr>
      <w:r>
        <w:t xml:space="preserve">Goal requirements:</w:t>
      </w:r>
    </w:p>
    <w:p>
      <w:pPr>
        <w:pStyle w:val="FirstParagraph"/>
      </w:pPr>
      <w:r>
        <w:t xml:space="preserve">As threshold.</w:t>
      </w:r>
      <w:r>
        <w:t xml:space="preserve"> </w:t>
      </w:r>
    </w:p>
    <w:bookmarkEnd w:id="95"/>
    <w:bookmarkStart w:id="96"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6"/>
    <w:bookmarkEnd w:id="97"/>
    <w:bookmarkStart w:id="101" w:name="sec:meta-odqua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meta-odqual-sr</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99"/>
    <w:bookmarkStart w:id="100"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100"/>
    <w:bookmarkEnd w:id="101"/>
    <w:bookmarkEnd w:id="102"/>
    <w:bookmarkStart w:id="163"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6"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3"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3"/>
    <w:bookmarkStart w:id="104" w:name="goal-requirements-17"/>
    <w:p>
      <w:pPr>
        <w:pStyle w:val="berschrift5"/>
      </w:pPr>
      <w:r>
        <w:t xml:space="preserve">Goal requirements:</w:t>
      </w:r>
    </w:p>
    <w:p>
      <w:pPr>
        <w:pStyle w:val="FirstParagraph"/>
      </w:pPr>
      <w:r>
        <w:t xml:space="preserve">As threshold.</w:t>
      </w:r>
      <w:r>
        <w:t xml:space="preserve"> </w:t>
      </w:r>
    </w:p>
    <w:bookmarkEnd w:id="104"/>
    <w:bookmarkStart w:id="105"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5"/>
    <w:bookmarkEnd w:id="106"/>
    <w:bookmarkStart w:id="110"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07"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7"/>
    <w:bookmarkStart w:id="108" w:name="goal-requirements-18"/>
    <w:p>
      <w:pPr>
        <w:pStyle w:val="berschrift5"/>
      </w:pPr>
      <w:r>
        <w:t xml:space="preserve">Goal requirements:</w:t>
      </w:r>
    </w:p>
    <w:p>
      <w:pPr>
        <w:pStyle w:val="FirstParagraph"/>
      </w:pPr>
      <w:r>
        <w:t xml:space="preserve">As threshold.</w:t>
      </w:r>
      <w:r>
        <w:t xml:space="preserve"> </w:t>
      </w:r>
    </w:p>
    <w:bookmarkEnd w:id="108"/>
    <w:bookmarkStart w:id="109"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09"/>
    <w:bookmarkEnd w:id="110"/>
    <w:bookmarkStart w:id="114"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1"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2"/>
        </w:numPr>
      </w:pPr>
      <w:r>
        <w:t xml:space="preserve">This may be the result of missing ancillary data for a subset of the pixels.</w:t>
      </w:r>
    </w:p>
    <w:bookmarkEnd w:id="111"/>
    <w:bookmarkStart w:id="112"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2"/>
    <w:bookmarkStart w:id="113"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3"/>
    <w:bookmarkEnd w:id="114"/>
    <w:bookmarkStart w:id="118"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5"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5"/>
    <w:bookmarkStart w:id="116" w:name="goal-requirements-20"/>
    <w:p>
      <w:pPr>
        <w:pStyle w:val="berschrift5"/>
      </w:pPr>
      <w:r>
        <w:t xml:space="preserve">Goal requirements:</w:t>
      </w:r>
    </w:p>
    <w:p>
      <w:pPr>
        <w:pStyle w:val="FirstParagraph"/>
      </w:pPr>
      <w:r>
        <w:t xml:space="preserve">Metadata indicates which pixels are saturated for each spectral band.</w:t>
      </w:r>
    </w:p>
    <w:bookmarkEnd w:id="116"/>
    <w:bookmarkStart w:id="117"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7"/>
    <w:bookmarkEnd w:id="118"/>
    <w:bookmarkStart w:id="122"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19" w:name="threshold-requirements-21"/>
    <w:p>
      <w:pPr>
        <w:pStyle w:val="berschrift5"/>
      </w:pPr>
      <w:r>
        <w:t xml:space="preserve">Threshold requirements:</w:t>
      </w:r>
    </w:p>
    <w:p>
      <w:pPr>
        <w:pStyle w:val="FirstParagraph"/>
      </w:pPr>
      <w:r>
        <w:t xml:space="preserve">Metadata indicates whether a pixel is assessed as being cloud.</w:t>
      </w:r>
    </w:p>
    <w:bookmarkEnd w:id="119"/>
    <w:bookmarkStart w:id="120"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0"/>
    <w:bookmarkStart w:id="121"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1"/>
    <w:bookmarkEnd w:id="122"/>
    <w:bookmarkStart w:id="126" w:name="sec:pxl-picloudsh-nls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pxl-picloudsh-nlsr</w:t>
      </w:r>
    </w:p>
    <w:bookmarkStart w:id="123" w:name="threshold-requirements-22"/>
    <w:p>
      <w:pPr>
        <w:pStyle w:val="berschrift5"/>
      </w:pPr>
      <w:r>
        <w:t xml:space="preserve">Threshold requirements:</w:t>
      </w:r>
    </w:p>
    <w:p>
      <w:pPr>
        <w:pStyle w:val="FirstParagraph"/>
      </w:pPr>
      <w:r>
        <w:t xml:space="preserve">Not required.</w:t>
      </w:r>
      <w:r>
        <w:t xml:space="preserve"> </w:t>
      </w:r>
    </w:p>
    <w:bookmarkEnd w:id="123"/>
    <w:bookmarkStart w:id="124" w:name="goal-requirements-22"/>
    <w:p>
      <w:pPr>
        <w:pStyle w:val="berschrift5"/>
      </w:pPr>
      <w:r>
        <w:t xml:space="preserve">Goal requirements:</w:t>
      </w:r>
    </w:p>
    <w:p>
      <w:pPr>
        <w:pStyle w:val="FirstParagraph"/>
      </w:pPr>
      <w:r>
        <w:t xml:space="preserve">Metadata indicates whether a pixel is assessed as being cloud shadow.</w:t>
      </w:r>
      <w:r>
        <w:t xml:space="preserve"> </w:t>
      </w:r>
      <w:r>
        <w:t xml:space="preserve">Information on cloud shadow detection should be available in the metadata as a single DOI landing page.</w:t>
      </w:r>
    </w:p>
    <w:bookmarkEnd w:id="124"/>
    <w:bookmarkStart w:id="125"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5"/>
    <w:bookmarkEnd w:id="126"/>
    <w:bookmarkStart w:id="130" w:name="sec:pxl-lawama-nl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pxl-lawama-nlsr</w:t>
      </w:r>
    </w:p>
    <w:bookmarkStart w:id="127" w:name="threshold-requirements-23"/>
    <w:p>
      <w:pPr>
        <w:pStyle w:val="berschrift5"/>
      </w:pPr>
      <w:r>
        <w:t xml:space="preserve">Threshold requirements:</w:t>
      </w:r>
    </w:p>
    <w:p>
      <w:pPr>
        <w:pStyle w:val="FirstParagraph"/>
      </w:pPr>
      <w:r>
        <w:t xml:space="preserve">Metadata indicates whether a pixel is land or water.</w:t>
      </w:r>
    </w:p>
    <w:bookmarkEnd w:id="127"/>
    <w:bookmarkStart w:id="128" w:name="goal-requirements-23"/>
    <w:p>
      <w:pPr>
        <w:pStyle w:val="berschrift5"/>
      </w:pPr>
      <w:r>
        <w:t xml:space="preserve">Goal requirements:</w:t>
      </w:r>
    </w:p>
    <w:p>
      <w:pPr>
        <w:pStyle w:val="FirstParagraph"/>
      </w:pPr>
      <w:r>
        <w:t xml:space="preserve">As threshold, information on land/water mask should be available in the metadata as a single DOI landing page.</w:t>
      </w:r>
    </w:p>
    <w:bookmarkEnd w:id="128"/>
    <w:bookmarkStart w:id="129"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9"/>
    <w:bookmarkEnd w:id="130"/>
    <w:bookmarkStart w:id="134" w:name="sec:pxl-snowice-nl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pxl-snowice-nlsr</w:t>
      </w:r>
    </w:p>
    <w:bookmarkStart w:id="131" w:name="threshold-requirements-24"/>
    <w:p>
      <w:pPr>
        <w:pStyle w:val="berschrift5"/>
      </w:pPr>
      <w:r>
        <w:t xml:space="preserve">Threshold requirements:</w:t>
      </w:r>
    </w:p>
    <w:p>
      <w:pPr>
        <w:pStyle w:val="FirstParagraph"/>
      </w:pPr>
      <w:r>
        <w:t xml:space="preserve">Metadata indicates whether a pixel is snow/ice.</w:t>
      </w:r>
    </w:p>
    <w:bookmarkEnd w:id="131"/>
    <w:bookmarkStart w:id="132" w:name="goal-requirements-24"/>
    <w:p>
      <w:pPr>
        <w:pStyle w:val="berschrift5"/>
      </w:pPr>
      <w:r>
        <w:t xml:space="preserve">Goal requirements:</w:t>
      </w:r>
    </w:p>
    <w:p>
      <w:pPr>
        <w:pStyle w:val="FirstParagraph"/>
      </w:pPr>
      <w:r>
        <w:t xml:space="preserve">As threshold, information on snow/ice mask should be available in the metadata as a single DOI landing page.</w:t>
      </w:r>
    </w:p>
    <w:bookmarkEnd w:id="132"/>
    <w:bookmarkStart w:id="133"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3"/>
    <w:bookmarkEnd w:id="134"/>
    <w:bookmarkStart w:id="138" w:name="sec:pxl-tershad"/>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pxl-tershad</w:t>
      </w:r>
    </w:p>
    <w:bookmarkStart w:id="135" w:name="threshold-requirements-25"/>
    <w:p>
      <w:pPr>
        <w:pStyle w:val="berschrift5"/>
      </w:pPr>
      <w:r>
        <w:t xml:space="preserve">Threshold requirements:</w:t>
      </w:r>
    </w:p>
    <w:p>
      <w:pPr>
        <w:pStyle w:val="FirstParagraph"/>
      </w:pPr>
      <w:r>
        <w:t xml:space="preserve">Not required.</w:t>
      </w:r>
      <w:r>
        <w:t xml:space="preserve"> </w:t>
      </w:r>
    </w:p>
    <w:bookmarkEnd w:id="135"/>
    <w:bookmarkStart w:id="136"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6"/>
    <w:bookmarkStart w:id="137"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7"/>
    <w:bookmarkEnd w:id="138"/>
    <w:bookmarkStart w:id="142" w:name="sec:pxl-ter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pxl-terocc</w:t>
      </w:r>
    </w:p>
    <w:bookmarkStart w:id="139" w:name="threshold-requirements-26"/>
    <w:p>
      <w:pPr>
        <w:pStyle w:val="berschrift5"/>
      </w:pPr>
      <w:r>
        <w:t xml:space="preserve">Threshold requirements:</w:t>
      </w:r>
    </w:p>
    <w:p>
      <w:pPr>
        <w:pStyle w:val="FirstParagraph"/>
      </w:pPr>
      <w:r>
        <w:t xml:space="preserve">Not required.</w:t>
      </w:r>
      <w:r>
        <w:t xml:space="preserve"> </w:t>
      </w:r>
    </w:p>
    <w:bookmarkEnd w:id="139"/>
    <w:bookmarkStart w:id="140"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40"/>
    <w:bookmarkStart w:id="141"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1"/>
    <w:bookmarkEnd w:id="142"/>
    <w:bookmarkStart w:id="146" w:name="sec:pxl-vigelu"/>
    <w:p>
      <w:pPr>
        <w:pStyle w:val="berschrift4"/>
      </w:pPr>
      <w:r>
        <w:rPr>
          <w:rStyle w:val="VerbatimChar"/>
        </w:rPr>
        <w:t xml:space="preserve">2.11.</w:t>
      </w:r>
      <w:r>
        <w:t xml:space="preserve"> </w:t>
      </w:r>
      <w:r>
        <w:t xml:space="preserve">Lunar and Viewing Geometry</w:t>
      </w:r>
    </w:p>
    <w:p>
      <w:pPr>
        <w:pStyle w:val="FirstParagraph"/>
      </w:pPr>
      <w:r>
        <w:t xml:space="preserve">Identifier:</w:t>
      </w:r>
      <w:r>
        <w:t xml:space="preserve"> </w:t>
      </w:r>
      <w:r>
        <w:rPr>
          <w:rStyle w:val="VerbatimChar"/>
        </w:rPr>
        <w:t xml:space="preserve">pxl-vigelu</w:t>
      </w:r>
    </w:p>
    <w:bookmarkStart w:id="143" w:name="threshold-requirements-27"/>
    <w:p>
      <w:pPr>
        <w:pStyle w:val="berschrift5"/>
      </w:pPr>
      <w:r>
        <w:t xml:space="preserve">Threshold requirements:</w:t>
      </w:r>
    </w:p>
    <w:p>
      <w:pPr>
        <w:pStyle w:val="FirstParagraph"/>
      </w:pPr>
      <w:r>
        <w:t xml:space="preserve">Provide average lunar and sensor viewing azimuth and zenith angles.</w:t>
      </w:r>
    </w:p>
    <w:bookmarkEnd w:id="143"/>
    <w:bookmarkStart w:id="144" w:name="goal-requirements-27"/>
    <w:p>
      <w:pPr>
        <w:pStyle w:val="berschrift5"/>
      </w:pPr>
      <w:r>
        <w:t xml:space="preserve">Goal requirements:</w:t>
      </w:r>
    </w:p>
    <w:p>
      <w:pPr>
        <w:pStyle w:val="FirstParagraph"/>
      </w:pPr>
      <w:r>
        <w:t xml:space="preserve">Provide per-pixel lunar and sensor viewing azimuth and zenith angles.</w:t>
      </w:r>
    </w:p>
    <w:bookmarkEnd w:id="144"/>
    <w:bookmarkStart w:id="145"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5"/>
    <w:bookmarkEnd w:id="146"/>
    <w:bookmarkStart w:id="150" w:name="sec:pxl-piteric"/>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pxl-piteric</w:t>
      </w:r>
    </w:p>
    <w:bookmarkStart w:id="147" w:name="threshold-requirements-28"/>
    <w:p>
      <w:pPr>
        <w:pStyle w:val="berschrift5"/>
      </w:pPr>
      <w:r>
        <w:t xml:space="preserve">Threshold requirements:</w:t>
      </w:r>
    </w:p>
    <w:p>
      <w:pPr>
        <w:pStyle w:val="FirstParagraph"/>
      </w:pPr>
      <w:r>
        <w:t xml:space="preserve">Not required.</w:t>
      </w:r>
      <w:r>
        <w:t xml:space="preserve"> </w:t>
      </w:r>
    </w:p>
    <w:bookmarkEnd w:id="147"/>
    <w:bookmarkStart w:id="148"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8"/>
    <w:bookmarkStart w:id="149"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9"/>
    <w:bookmarkEnd w:id="150"/>
    <w:bookmarkStart w:id="154" w:name="sec:pxl-moonilf"/>
    <w:p>
      <w:pPr>
        <w:pStyle w:val="berschrift4"/>
      </w:pPr>
      <w:r>
        <w:rPr>
          <w:rStyle w:val="VerbatimChar"/>
        </w:rPr>
        <w:t xml:space="preserve">2.13.</w:t>
      </w:r>
      <w:r>
        <w:t xml:space="preserve"> </w:t>
      </w:r>
      <w:r>
        <w:t xml:space="preserve">Moon Illumination Fraction</w:t>
      </w:r>
    </w:p>
    <w:p>
      <w:pPr>
        <w:pStyle w:val="FirstParagraph"/>
      </w:pPr>
      <w:r>
        <w:t xml:space="preserve">Identifier:</w:t>
      </w:r>
      <w:r>
        <w:t xml:space="preserve"> </w:t>
      </w:r>
      <w:r>
        <w:rPr>
          <w:rStyle w:val="VerbatimChar"/>
        </w:rPr>
        <w:t xml:space="preserve">pxl-moonilf</w:t>
      </w:r>
    </w:p>
    <w:bookmarkStart w:id="151" w:name="threshold-requirements-29"/>
    <w:p>
      <w:pPr>
        <w:pStyle w:val="berschrift5"/>
      </w:pPr>
      <w:r>
        <w:t xml:space="preserve">Threshold requirements:</w:t>
      </w:r>
    </w:p>
    <w:p>
      <w:pPr>
        <w:pStyle w:val="FirstParagraph"/>
      </w:pPr>
      <w:r>
        <w:t xml:space="preserve">Provide average moon illumination fraction.</w:t>
      </w:r>
    </w:p>
    <w:bookmarkEnd w:id="151"/>
    <w:bookmarkStart w:id="152" w:name="goal-requirements-29"/>
    <w:p>
      <w:pPr>
        <w:pStyle w:val="berschrift5"/>
      </w:pPr>
      <w:r>
        <w:t xml:space="preserve">Goal requirements:</w:t>
      </w:r>
    </w:p>
    <w:p>
      <w:pPr>
        <w:pStyle w:val="FirstParagraph"/>
      </w:pPr>
      <w:r>
        <w:t xml:space="preserve">Provide per-pixel moon illumination fraction</w:t>
      </w:r>
    </w:p>
    <w:bookmarkEnd w:id="152"/>
    <w:bookmarkStart w:id="153" w:name="assessment-29"/>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3"/>
    <w:bookmarkEnd w:id="154"/>
    <w:bookmarkStart w:id="158" w:name="sec:pxl-britemp"/>
    <w:p>
      <w:pPr>
        <w:pStyle w:val="berschrift4"/>
      </w:pPr>
      <w:r>
        <w:rPr>
          <w:rStyle w:val="VerbatimChar"/>
        </w:rPr>
        <w:t xml:space="preserve">2.14.</w:t>
      </w:r>
      <w:r>
        <w:t xml:space="preserve"> </w:t>
      </w:r>
      <w:r>
        <w:t xml:space="preserve">Brightness Temperature</w:t>
      </w:r>
    </w:p>
    <w:p>
      <w:pPr>
        <w:pStyle w:val="FirstParagraph"/>
      </w:pPr>
      <w:r>
        <w:t xml:space="preserve">Identifier:</w:t>
      </w:r>
      <w:r>
        <w:t xml:space="preserve"> </w:t>
      </w:r>
      <w:r>
        <w:rPr>
          <w:rStyle w:val="VerbatimChar"/>
        </w:rPr>
        <w:t xml:space="preserve">pxl-britemp</w:t>
      </w:r>
    </w:p>
    <w:bookmarkStart w:id="155" w:name="threshold-requirements-30"/>
    <w:p>
      <w:pPr>
        <w:pStyle w:val="berschrift5"/>
      </w:pPr>
      <w:r>
        <w:t xml:space="preserve">Threshold requirements:</w:t>
      </w:r>
    </w:p>
    <w:p>
      <w:pPr>
        <w:pStyle w:val="FirstParagraph"/>
      </w:pPr>
      <w:r>
        <w:t xml:space="preserve">Provide brightness temperature from thermal bands.</w:t>
      </w:r>
    </w:p>
    <w:bookmarkEnd w:id="155"/>
    <w:bookmarkStart w:id="156" w:name="goal-requirements-30"/>
    <w:p>
      <w:pPr>
        <w:pStyle w:val="berschrift5"/>
      </w:pPr>
      <w:r>
        <w:t xml:space="preserve">Goal requirements:</w:t>
      </w:r>
    </w:p>
    <w:p>
      <w:pPr>
        <w:pStyle w:val="FirstParagraph"/>
      </w:pPr>
      <w:r>
        <w:t xml:space="preserve">As threshold.</w:t>
      </w:r>
      <w:r>
        <w:t xml:space="preserve"> </w:t>
      </w:r>
    </w:p>
    <w:bookmarkEnd w:id="156"/>
    <w:bookmarkStart w:id="157" w:name="assessment-30"/>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7"/>
    <w:bookmarkEnd w:id="158"/>
    <w:bookmarkStart w:id="162" w:name="sec:pxl-pisozea"/>
    <w:p>
      <w:pPr>
        <w:pStyle w:val="berschrift4"/>
      </w:pPr>
      <w:r>
        <w:rPr>
          <w:rStyle w:val="VerbatimChar"/>
        </w:rPr>
        <w:t xml:space="preserve">2.15.</w:t>
      </w:r>
      <w:r>
        <w:t xml:space="preserve"> </w:t>
      </w:r>
      <w:r>
        <w:t xml:space="preserve">Solar Zenith Angle</w:t>
      </w:r>
    </w:p>
    <w:p>
      <w:pPr>
        <w:pStyle w:val="FirstParagraph"/>
      </w:pPr>
      <w:r>
        <w:t xml:space="preserve">Identifier:</w:t>
      </w:r>
      <w:r>
        <w:t xml:space="preserve"> </w:t>
      </w:r>
      <w:r>
        <w:rPr>
          <w:rStyle w:val="VerbatimChar"/>
        </w:rPr>
        <w:t xml:space="preserve">pxl-pisozea</w:t>
      </w:r>
    </w:p>
    <w:bookmarkStart w:id="159" w:name="threshold-requirements-31"/>
    <w:p>
      <w:pPr>
        <w:pStyle w:val="berschrift5"/>
      </w:pPr>
      <w:r>
        <w:t xml:space="preserve">Threshold requirements:</w:t>
      </w:r>
    </w:p>
    <w:p>
      <w:pPr>
        <w:pStyle w:val="FirstParagraph"/>
      </w:pPr>
      <w:r>
        <w:t xml:space="preserve">Provide solar zenith angle to support stray-light corrections (see also Section </w:t>
      </w:r>
      <w:r>
        <w:t xml:space="preserve">“</w:t>
      </w:r>
      <w:hyperlink w:anchor="sec:rac-strali">
        <w:r>
          <w:rPr>
            <w:rStyle w:val="Hyperlink"/>
          </w:rPr>
          <w:t xml:space="preserve">Radiometric and Atmospheric Corrections: Stray Light Corrections</w:t>
        </w:r>
      </w:hyperlink>
      <w:r>
        <w:t xml:space="preserve">”</w:t>
      </w:r>
      <w:r>
        <w:t xml:space="preserve">).</w:t>
      </w:r>
    </w:p>
    <w:bookmarkEnd w:id="159"/>
    <w:bookmarkStart w:id="160" w:name="goal-requirements-31"/>
    <w:p>
      <w:pPr>
        <w:pStyle w:val="berschrift5"/>
      </w:pPr>
      <w:r>
        <w:t xml:space="preserve">Goal requirements:</w:t>
      </w:r>
    </w:p>
    <w:p>
      <w:pPr>
        <w:pStyle w:val="FirstParagraph"/>
      </w:pPr>
      <w:r>
        <w:t xml:space="preserve">As threshold.</w:t>
      </w:r>
      <w:r>
        <w:t xml:space="preserve"> </w:t>
      </w:r>
    </w:p>
    <w:bookmarkEnd w:id="160"/>
    <w:bookmarkStart w:id="161" w:name="assessment-31"/>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61"/>
    <w:bookmarkEnd w:id="162"/>
    <w:bookmarkEnd w:id="163"/>
    <w:bookmarkStart w:id="188"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67" w:name="sec:rac-measur-nl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rac-measur-nlsr</w:t>
      </w:r>
    </w:p>
    <w:bookmarkStart w:id="164" w:name="threshold-requirements-32"/>
    <w:p>
      <w:pPr>
        <w:pStyle w:val="berschrift5"/>
      </w:pPr>
      <w:r>
        <w:t xml:space="preserve">Threshold requirements:</w:t>
      </w:r>
    </w:p>
    <w:p>
      <w:pPr>
        <w:pStyle w:val="FirstParagraph"/>
      </w:pPr>
      <w:r>
        <w:t xml:space="preserve">Pixel values that are expressed as a measurement of the nighttime light radiance.</w:t>
      </w:r>
    </w:p>
    <w:p>
      <w:pPr>
        <w:pStyle w:val="Textkrper"/>
      </w:pPr>
      <w:r>
        <w:t xml:space="preserve">Note:</w:t>
      </w:r>
    </w:p>
    <w:p>
      <w:pPr>
        <w:pStyle w:val="Compact"/>
        <w:numPr>
          <w:ilvl w:val="0"/>
          <w:numId w:val="1046"/>
        </w:numPr>
      </w:pPr>
      <w:r>
        <w:t xml:space="preserve">Radiometric corrections must lead to a valid measurement of surface reflectance.</w:t>
      </w:r>
    </w:p>
    <w:bookmarkEnd w:id="164"/>
    <w:bookmarkStart w:id="165" w:name="goal-requirements-32"/>
    <w:p>
      <w:pPr>
        <w:pStyle w:val="berschrift5"/>
      </w:pPr>
      <w:r>
        <w:t xml:space="preserve">Goal requirements:</w:t>
      </w:r>
    </w:p>
    <w:p>
      <w:pPr>
        <w:pStyle w:val="FirstParagraph"/>
      </w:pPr>
      <w:r>
        <w:t xml:space="preserve">Nighttime light radiance measurements are SI traceable (see also Section </w:t>
      </w:r>
      <w:r>
        <w:t xml:space="preserve">“</w:t>
      </w:r>
      <w:hyperlink w:anchor="sec:meta-trace-sr">
        <w:r>
          <w:rPr>
            <w:rStyle w:val="Hyperlink"/>
          </w:rPr>
          <w:t xml:space="preserve">General Metadata: Traceability</w:t>
        </w:r>
      </w:hyperlink>
      <w:r>
        <w:t xml:space="preserve">”</w:t>
      </w:r>
      <w:r>
        <w:t xml:space="preserve">).</w:t>
      </w:r>
    </w:p>
    <w:bookmarkEnd w:id="165"/>
    <w:bookmarkStart w:id="166" w:name="assessment-32"/>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6"/>
    <w:bookmarkEnd w:id="167"/>
    <w:bookmarkStart w:id="171" w:name="sec:rac-muncer-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rac-muncer-sr</w:t>
      </w:r>
    </w:p>
    <w:p>
      <w:pPr>
        <w:pStyle w:val="Textkrper"/>
      </w:pPr>
      <w:r>
        <w:t xml:space="preserve">Note: In current practice, users determine fitness for purpose based on knowledge of the lineage of the data, rather than on a specific estimate of measurement uncertainty.</w:t>
      </w:r>
    </w:p>
    <w:bookmarkStart w:id="168" w:name="threshold-requirements-33"/>
    <w:p>
      <w:pPr>
        <w:pStyle w:val="berschrift5"/>
      </w:pPr>
      <w:r>
        <w:t xml:space="preserve">Threshold requirements:</w:t>
      </w:r>
    </w:p>
    <w:p>
      <w:pPr>
        <w:pStyle w:val="FirstParagraph"/>
      </w:pPr>
      <w:r>
        <w:t xml:space="preserve">Not required.</w:t>
      </w:r>
      <w:r>
        <w:t xml:space="preserve"> </w:t>
      </w:r>
    </w:p>
    <w:bookmarkEnd w:id="168"/>
    <w:bookmarkStart w:id="169" w:name="goal-requirements-33"/>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8"/>
        </w:numPr>
      </w:pPr>
      <w:r>
        <w:t xml:space="preserve">This is a requirement for SI traceability. See also Section </w:t>
      </w:r>
      <w:r>
        <w:t xml:space="preserve">“</w:t>
      </w:r>
      <w:hyperlink w:anchor="sec:meta-trace-sr">
        <w:r>
          <w:rPr>
            <w:rStyle w:val="Hyperlink"/>
          </w:rPr>
          <w:t xml:space="preserve">General Metadata: Traceability</w:t>
        </w:r>
      </w:hyperlink>
      <w:r>
        <w:t xml:space="preserve">”</w:t>
      </w:r>
      <w:r>
        <w:t xml:space="preserve">.</w:t>
      </w:r>
    </w:p>
    <w:p>
      <w:pPr>
        <w:pStyle w:val="Compact"/>
        <w:numPr>
          <w:ilvl w:val="0"/>
          <w:numId w:val="1048"/>
        </w:numPr>
      </w:pPr>
      <w:r>
        <w:t xml:space="preserve">Information on measurement uncertainty should be available in the metadata as a single DOI landing page.</w:t>
      </w:r>
    </w:p>
    <w:bookmarkEnd w:id="169"/>
    <w:bookmarkStart w:id="170" w:name="assessment-33"/>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70"/>
    <w:bookmarkEnd w:id="171"/>
    <w:bookmarkStart w:id="175" w:name="sec:rac-mnormal-n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rac-mnormal-nlsr</w:t>
      </w:r>
    </w:p>
    <w:bookmarkStart w:id="172" w:name="threshold-requirements-34"/>
    <w:p>
      <w:pPr>
        <w:pStyle w:val="berschrift5"/>
      </w:pPr>
      <w:r>
        <w:t xml:space="preserve">Threshold requirements:</w:t>
      </w:r>
    </w:p>
    <w:p>
      <w:pPr>
        <w:pStyle w:val="FirstParagraph"/>
      </w:pPr>
      <w:r>
        <w:t xml:space="preserve">Not required.</w:t>
      </w:r>
      <w:r>
        <w:t xml:space="preserve"> </w:t>
      </w:r>
    </w:p>
    <w:bookmarkEnd w:id="172"/>
    <w:bookmarkStart w:id="173" w:name="goal-requirements-34"/>
    <w:p>
      <w:pPr>
        <w:pStyle w:val="berschrift5"/>
      </w:pPr>
      <w:r>
        <w:t xml:space="preserve">Goal requirements:</w:t>
      </w:r>
    </w:p>
    <w:p>
      <w:pPr>
        <w:pStyle w:val="FirstParagraph"/>
      </w:pPr>
      <w:r>
        <w:t xml:space="preserve">Measurements are normalised for viewing conditions (i.e., nadir view angle).</w:t>
      </w:r>
      <w:r>
        <w:t xml:space="preserve"> </w:t>
      </w:r>
      <w:r>
        <w:t xml:space="preserve">This may include radiative transfer modelling.</w:t>
      </w:r>
    </w:p>
    <w:p>
      <w:pPr>
        <w:pStyle w:val="Textkrper"/>
      </w:pPr>
      <w:r>
        <w:t xml:space="preserve">Note:</w:t>
      </w:r>
    </w:p>
    <w:p>
      <w:pPr>
        <w:pStyle w:val="Compact"/>
        <w:numPr>
          <w:ilvl w:val="0"/>
          <w:numId w:val="1050"/>
        </w:numPr>
      </w:pPr>
      <w:r>
        <w:t xml:space="preserve">Information on measurement normalisation should be available in the metadata as a single DOI landing page.</w:t>
      </w:r>
    </w:p>
    <w:bookmarkEnd w:id="173"/>
    <w:bookmarkStart w:id="174" w:name="assessment-34"/>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74"/>
    <w:bookmarkEnd w:id="175"/>
    <w:bookmarkStart w:id="179" w:name="sec:rac-catcor"/>
    <w:p>
      <w:pPr>
        <w:pStyle w:val="berschrift4"/>
      </w:pPr>
      <w:r>
        <w:rPr>
          <w:rStyle w:val="VerbatimChar"/>
        </w:rPr>
        <w:t xml:space="preserve">3.4.</w:t>
      </w:r>
      <w:r>
        <w:t xml:space="preserve"> </w:t>
      </w:r>
      <w:r>
        <w:t xml:space="preserve">Atmospheric Corrections</w:t>
      </w:r>
    </w:p>
    <w:p>
      <w:pPr>
        <w:pStyle w:val="FirstParagraph"/>
      </w:pPr>
      <w:r>
        <w:t xml:space="preserve">Identifier:</w:t>
      </w:r>
      <w:r>
        <w:t xml:space="preserve"> </w:t>
      </w:r>
      <w:r>
        <w:rPr>
          <w:rStyle w:val="VerbatimChar"/>
        </w:rPr>
        <w:t xml:space="preserve">rac-catcor</w:t>
      </w:r>
    </w:p>
    <w:bookmarkStart w:id="176" w:name="threshold-requirements-35"/>
    <w:p>
      <w:pPr>
        <w:pStyle w:val="berschrift5"/>
      </w:pPr>
      <w:r>
        <w:t xml:space="preserve">Threshold requirements:</w:t>
      </w:r>
    </w:p>
    <w:p>
      <w:pPr>
        <w:pStyle w:val="FirstParagraph"/>
      </w:pPr>
      <w:r>
        <w:t xml:space="preserve">Corrections are applied for atmospheric scattering.</w:t>
      </w:r>
    </w:p>
    <w:p>
      <w:pPr>
        <w:pStyle w:val="Textkrper"/>
      </w:pPr>
      <w:r>
        <w:t xml:space="preserve">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Compact"/>
        <w:numPr>
          <w:ilvl w:val="0"/>
          <w:numId w:val="1052"/>
        </w:numPr>
      </w:pPr>
      <w:r>
        <w:t xml:space="preserve">the sources of ancillary data used to make corrections</w:t>
      </w:r>
    </w:p>
    <w:p>
      <w:pPr>
        <w:pStyle w:val="FirstParagraph"/>
      </w:pPr>
      <w:r>
        <w:t xml:space="preserve">Note:</w:t>
      </w:r>
    </w:p>
    <w:p>
      <w:pPr>
        <w:pStyle w:val="Compact"/>
        <w:numPr>
          <w:ilvl w:val="0"/>
          <w:numId w:val="1053"/>
        </w:numPr>
      </w:pPr>
      <w:r>
        <w:t xml:space="preserve">Examples of technical documentation include an Algorithm Theoretical Basis Document, product user guide, etc.</w:t>
      </w:r>
    </w:p>
    <w:bookmarkEnd w:id="176"/>
    <w:bookmarkStart w:id="177" w:name="goal-requirements-35"/>
    <w:p>
      <w:pPr>
        <w:pStyle w:val="berschrift5"/>
      </w:pPr>
      <w:r>
        <w:t xml:space="preserve">Goal requirements:</w:t>
      </w:r>
    </w:p>
    <w:p>
      <w:pPr>
        <w:pStyle w:val="FirstParagraph"/>
      </w:pPr>
      <w:r>
        <w:t xml:space="preserve">As threshold.</w:t>
      </w:r>
      <w:r>
        <w:t xml:space="preserve"> </w:t>
      </w:r>
    </w:p>
    <w:bookmarkEnd w:id="177"/>
    <w:bookmarkStart w:id="178" w:name="assessment-35"/>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8"/>
    <w:bookmarkEnd w:id="179"/>
    <w:bookmarkStart w:id="183" w:name="sec:rac-lunrad"/>
    <w:p>
      <w:pPr>
        <w:pStyle w:val="berschrift4"/>
      </w:pPr>
      <w:r>
        <w:rPr>
          <w:rStyle w:val="VerbatimChar"/>
        </w:rPr>
        <w:t xml:space="preserve">3.5.</w:t>
      </w:r>
      <w:r>
        <w:t xml:space="preserve"> </w:t>
      </w:r>
      <w:r>
        <w:t xml:space="preserve">Lunar Radiance Corrections</w:t>
      </w:r>
    </w:p>
    <w:p>
      <w:pPr>
        <w:pStyle w:val="FirstParagraph"/>
      </w:pPr>
      <w:r>
        <w:t xml:space="preserve">Identifier:</w:t>
      </w:r>
      <w:r>
        <w:t xml:space="preserve"> </w:t>
      </w:r>
      <w:r>
        <w:rPr>
          <w:rStyle w:val="VerbatimChar"/>
        </w:rPr>
        <w:t xml:space="preserve">rac-lunrad</w:t>
      </w:r>
    </w:p>
    <w:bookmarkStart w:id="180" w:name="threshold-requirements-36"/>
    <w:p>
      <w:pPr>
        <w:pStyle w:val="berschrift5"/>
      </w:pPr>
      <w:r>
        <w:t xml:space="preserve">Threshold requirements:</w:t>
      </w:r>
    </w:p>
    <w:p>
      <w:pPr>
        <w:pStyle w:val="FirstParagraph"/>
      </w:pPr>
      <w:r>
        <w:t xml:space="preserve">Corrections are applied for lunar radiance.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 and the lunar model used.</w:t>
      </w:r>
    </w:p>
    <w:p>
      <w:pPr>
        <w:pStyle w:val="FirstParagraph"/>
      </w:pPr>
      <w:r>
        <w:t xml:space="preserve">Note:</w:t>
      </w:r>
    </w:p>
    <w:p>
      <w:pPr>
        <w:pStyle w:val="Compact"/>
        <w:numPr>
          <w:ilvl w:val="0"/>
          <w:numId w:val="1056"/>
        </w:numPr>
      </w:pPr>
      <w:r>
        <w:t xml:space="preserve">Examples of technical documentation include an Algorithm Theoretical Basis Document, product user guide, etc.</w:t>
      </w:r>
    </w:p>
    <w:bookmarkEnd w:id="180"/>
    <w:bookmarkStart w:id="181" w:name="goal-requirements-36"/>
    <w:p>
      <w:pPr>
        <w:pStyle w:val="berschrift5"/>
      </w:pPr>
      <w:r>
        <w:t xml:space="preserve">Goal requirements:</w:t>
      </w:r>
    </w:p>
    <w:p>
      <w:pPr>
        <w:pStyle w:val="FirstParagraph"/>
      </w:pPr>
      <w:r>
        <w:t xml:space="preserve">As threshold.</w:t>
      </w:r>
      <w:r>
        <w:t xml:space="preserve"> </w:t>
      </w:r>
    </w:p>
    <w:bookmarkEnd w:id="181"/>
    <w:bookmarkStart w:id="182" w:name="assessment-36"/>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2"/>
    <w:bookmarkEnd w:id="183"/>
    <w:bookmarkStart w:id="187" w:name="sec:rac-strali"/>
    <w:p>
      <w:pPr>
        <w:pStyle w:val="berschrift4"/>
      </w:pPr>
      <w:r>
        <w:rPr>
          <w:rStyle w:val="VerbatimChar"/>
        </w:rPr>
        <w:t xml:space="preserve">3.6.</w:t>
      </w:r>
      <w:r>
        <w:t xml:space="preserve"> </w:t>
      </w:r>
      <w:r>
        <w:t xml:space="preserve">Stray Light Corrections</w:t>
      </w:r>
    </w:p>
    <w:p>
      <w:pPr>
        <w:pStyle w:val="FirstParagraph"/>
      </w:pPr>
      <w:r>
        <w:t xml:space="preserve">Identifier:</w:t>
      </w:r>
      <w:r>
        <w:t xml:space="preserve"> </w:t>
      </w:r>
      <w:r>
        <w:rPr>
          <w:rStyle w:val="VerbatimChar"/>
        </w:rPr>
        <w:t xml:space="preserve">rac-strali</w:t>
      </w:r>
    </w:p>
    <w:bookmarkStart w:id="184" w:name="threshold-requirements-37"/>
    <w:p>
      <w:pPr>
        <w:pStyle w:val="berschrift5"/>
      </w:pPr>
      <w:r>
        <w:t xml:space="preserve">Threshold requirements:</w:t>
      </w:r>
    </w:p>
    <w:p>
      <w:pPr>
        <w:pStyle w:val="FirstParagraph"/>
      </w:pPr>
      <w:r>
        <w:t xml:space="preserve">Corrections are applied for stray light.</w:t>
      </w:r>
    </w:p>
    <w:p>
      <w:pPr>
        <w:pStyle w:val="Textkrper"/>
      </w:pPr>
      <w:r>
        <w:t xml:space="preserve">Metadata contains a single DOI landing page with references to:</w:t>
      </w:r>
    </w:p>
    <w:p>
      <w:pPr>
        <w:pStyle w:val="Compact"/>
        <w:numPr>
          <w:ilvl w:val="0"/>
          <w:numId w:val="1058"/>
        </w:numPr>
      </w:pPr>
      <w:r>
        <w:t xml:space="preserve">a citable peer-reviewed algorithm</w:t>
      </w:r>
    </w:p>
    <w:p>
      <w:pPr>
        <w:pStyle w:val="Compact"/>
        <w:numPr>
          <w:ilvl w:val="0"/>
          <w:numId w:val="1058"/>
        </w:numPr>
      </w:pPr>
      <w:r>
        <w:t xml:space="preserve">technical documentation regarding the implementation of that algorithm and any models used.</w:t>
      </w:r>
    </w:p>
    <w:p>
      <w:pPr>
        <w:pStyle w:val="FirstParagraph"/>
      </w:pPr>
      <w:r>
        <w:t xml:space="preserve">Note:</w:t>
      </w:r>
    </w:p>
    <w:p>
      <w:pPr>
        <w:pStyle w:val="Compact"/>
        <w:numPr>
          <w:ilvl w:val="0"/>
          <w:numId w:val="1059"/>
        </w:numPr>
      </w:pPr>
      <w:r>
        <w:t xml:space="preserve">Examples of technical documentation include an Algorithm Theoretical Basis Document, product user guide, etc.</w:t>
      </w:r>
    </w:p>
    <w:bookmarkEnd w:id="184"/>
    <w:bookmarkStart w:id="185" w:name="goal-requirements-37"/>
    <w:p>
      <w:pPr>
        <w:pStyle w:val="berschrift5"/>
      </w:pPr>
      <w:r>
        <w:t xml:space="preserve">Goal requirements:</w:t>
      </w:r>
    </w:p>
    <w:p>
      <w:pPr>
        <w:pStyle w:val="FirstParagraph"/>
      </w:pPr>
      <w:r>
        <w:t xml:space="preserve">As threshold.</w:t>
      </w:r>
      <w:r>
        <w:t xml:space="preserve"> </w:t>
      </w:r>
    </w:p>
    <w:bookmarkEnd w:id="185"/>
    <w:bookmarkStart w:id="186" w:name="assessment-37"/>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bookmarkEnd w:id="186"/>
    <w:bookmarkEnd w:id="187"/>
    <w:bookmarkEnd w:id="188"/>
    <w:bookmarkStart w:id="193"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92" w:name="sec:gcor-geocorr-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gcor-geocorr-sr</w:t>
      </w:r>
    </w:p>
    <w:bookmarkStart w:id="189" w:name="threshold-requirements-3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61"/>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89"/>
    <w:bookmarkStart w:id="190" w:name="goal-requirements-3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62"/>
        </w:numPr>
      </w:pPr>
      <w:r>
        <w:t xml:space="preserve">This requirement is intended to enable interoperability between imagery from different platforms that meet this level of correction, and with non-image spatial data such as GIS layers and terrain models.</w:t>
      </w:r>
    </w:p>
    <w:bookmarkEnd w:id="190"/>
    <w:bookmarkStart w:id="191"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br w:type="page"/>
      </w:r>
    </w:p>
    <w:bookmarkEnd w:id="191"/>
    <w:bookmarkEnd w:id="192"/>
    <w:bookmarkEnd w:id="193"/>
    <w:bookmarkEnd w:id="194"/>
    <w:bookmarkStart w:id="199" w:name="summary-self-assessment-table"/>
    <w:p>
      <w:pPr>
        <w:pStyle w:val="berschrift2"/>
      </w:pPr>
      <w:r>
        <w:t xml:space="preserve">Summary Self-Assessment Table</w:t>
      </w:r>
    </w:p>
    <w:bookmarkStart w:id="195"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meta-mapproj-nlsr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meta-proprov-nlsr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95"/>
    <w:bookmarkStart w:id="196"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pxl-picloudsh-nlsr</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pxl-lawama-nlsr</w:t>
            </w:r>
          </w:p>
        </w:tc>
        <w:tc>
          <w:tcPr/>
          <w:p>
            <w:pPr>
              <w:pStyle w:val="Compact"/>
            </w:pPr>
            <w:r>
              <w:t xml:space="preserve">Land/Water Mask</w:t>
            </w:r>
          </w:p>
        </w:tc>
        <w:tc>
          <w:tcPr/>
          <w:p>
            <w:pPr>
              <w:pStyle w:val="Compact"/>
            </w:pPr>
          </w:p>
        </w:tc>
        <w:tc>
          <w:tcPr/>
          <w:p>
            <w:pPr>
              <w:pStyle w:val="Compact"/>
            </w:pPr>
          </w:p>
        </w:tc>
      </w:tr>
      <w:tr>
        <w:tc>
          <w:tcPr/>
          <w:p>
            <w:pPr>
              <w:pStyle w:val="Compact"/>
            </w:pPr>
            <w:r>
              <w:rPr>
                <w:rStyle w:val="VerbatimChar"/>
              </w:rPr>
              <w:t xml:space="preserve">pxl-snowice-nlsr</w:t>
            </w:r>
          </w:p>
        </w:tc>
        <w:tc>
          <w:tcPr/>
          <w:p>
            <w:pPr>
              <w:pStyle w:val="Compact"/>
            </w:pPr>
            <w:r>
              <w:t xml:space="preserve">Snow/Ice Mask</w:t>
            </w:r>
          </w:p>
        </w:tc>
        <w:tc>
          <w:tcPr/>
          <w:p>
            <w:pPr>
              <w:pStyle w:val="Compact"/>
            </w:pPr>
          </w:p>
        </w:tc>
        <w:tc>
          <w:tcPr/>
          <w:p>
            <w:pPr>
              <w:pStyle w:val="Compact"/>
            </w:pPr>
          </w:p>
        </w:tc>
      </w:tr>
      <w:tr>
        <w:tc>
          <w:tcPr/>
          <w:p>
            <w:pPr>
              <w:pStyle w:val="Compact"/>
            </w:pPr>
            <w:r>
              <w:rPr>
                <w:rStyle w:val="VerbatimChar"/>
              </w:rPr>
              <w:t xml:space="preserve">pxl-tershad</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pxl-vigelu</w:t>
            </w:r>
          </w:p>
        </w:tc>
        <w:tc>
          <w:tcPr/>
          <w:p>
            <w:pPr>
              <w:pStyle w:val="Compact"/>
            </w:pPr>
            <w:r>
              <w:t xml:space="preserve">Lunar and Viewing Geometry</w:t>
            </w:r>
          </w:p>
        </w:tc>
        <w:tc>
          <w:tcPr/>
          <w:p>
            <w:pPr>
              <w:pStyle w:val="Compact"/>
            </w:pPr>
          </w:p>
        </w:tc>
        <w:tc>
          <w:tcPr/>
          <w:p>
            <w:pPr>
              <w:pStyle w:val="Compact"/>
            </w:pPr>
          </w:p>
        </w:tc>
      </w:tr>
      <w:tr>
        <w:tc>
          <w:tcPr/>
          <w:p>
            <w:pPr>
              <w:pStyle w:val="Compact"/>
            </w:pPr>
            <w:r>
              <w:rPr>
                <w:rStyle w:val="VerbatimChar"/>
              </w:rPr>
              <w:t xml:space="preserve">pxl-piteric</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pxl-moonilf</w:t>
            </w:r>
          </w:p>
        </w:tc>
        <w:tc>
          <w:tcPr/>
          <w:p>
            <w:pPr>
              <w:pStyle w:val="Compact"/>
            </w:pPr>
            <w:r>
              <w:t xml:space="preserve">Moon Illumination Fraction</w:t>
            </w:r>
          </w:p>
        </w:tc>
        <w:tc>
          <w:tcPr/>
          <w:p>
            <w:pPr>
              <w:pStyle w:val="Compact"/>
            </w:pPr>
          </w:p>
        </w:tc>
        <w:tc>
          <w:tcPr/>
          <w:p>
            <w:pPr>
              <w:pStyle w:val="Compact"/>
            </w:pPr>
          </w:p>
        </w:tc>
      </w:tr>
      <w:tr>
        <w:tc>
          <w:tcPr/>
          <w:p>
            <w:pPr>
              <w:pStyle w:val="Compact"/>
            </w:pPr>
            <w:r>
              <w:rPr>
                <w:rStyle w:val="VerbatimChar"/>
              </w:rPr>
              <w:t xml:space="preserve">pxl-britemp</w:t>
            </w:r>
          </w:p>
        </w:tc>
        <w:tc>
          <w:tcPr/>
          <w:p>
            <w:pPr>
              <w:pStyle w:val="Compact"/>
            </w:pPr>
            <w:r>
              <w:t xml:space="preserve">Brightness Temperature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pxl-pisozea</w:t>
            </w:r>
          </w:p>
        </w:tc>
        <w:tc>
          <w:tcPr/>
          <w:p>
            <w:pPr>
              <w:pStyle w:val="Compact"/>
            </w:pPr>
            <w:r>
              <w:t xml:space="preserve">Solar Zenith Angle</w:t>
            </w:r>
          </w:p>
        </w:tc>
        <w:tc>
          <w:tcPr/>
          <w:p>
            <w:pPr>
              <w:pStyle w:val="Compact"/>
            </w:pPr>
          </w:p>
        </w:tc>
        <w:tc>
          <w:tcPr/>
          <w:p>
            <w:pPr>
              <w:pStyle w:val="Compact"/>
              <w:jc w:val="center"/>
            </w:pPr>
            <w:r>
              <w:rPr>
                <w:i/>
                <w:iCs/>
              </w:rPr>
              <w:t xml:space="preserve">as threshold</w:t>
            </w:r>
          </w:p>
        </w:tc>
      </w:tr>
    </w:tbl>
    <w:bookmarkEnd w:id="196"/>
    <w:bookmarkStart w:id="197" w:name="radiometric-and-atmospheric-corrections"/>
    <w:p>
      <w:pPr>
        <w:pStyle w:val="berschrift3"/>
      </w:pPr>
      <w:r>
        <w:t xml:space="preserve">Radiometric and Atmospheric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rac-measur-nlsr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rac-muncer-sr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rac-mnormal-nlsr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rac-catcor</w:t>
            </w:r>
          </w:p>
        </w:tc>
        <w:tc>
          <w:tcPr/>
          <w:p>
            <w:pPr>
              <w:pStyle w:val="Compact"/>
            </w:pPr>
            <w:r>
              <w:t xml:space="preserve">Atmospheric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rac-lunrad</w:t>
            </w:r>
          </w:p>
        </w:tc>
        <w:tc>
          <w:tcPr/>
          <w:p>
            <w:pPr>
              <w:pStyle w:val="Compact"/>
            </w:pPr>
            <w:r>
              <w:t xml:space="preserve">Lunar Radiance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rac-strali</w:t>
            </w:r>
          </w:p>
        </w:tc>
        <w:tc>
          <w:tcPr/>
          <w:p>
            <w:pPr>
              <w:pStyle w:val="Compact"/>
            </w:pPr>
            <w:r>
              <w:t xml:space="preserve">Stray Light Corrections</w:t>
            </w:r>
          </w:p>
        </w:tc>
        <w:tc>
          <w:tcPr/>
          <w:p>
            <w:pPr>
              <w:pStyle w:val="Compact"/>
            </w:pPr>
          </w:p>
        </w:tc>
        <w:tc>
          <w:tcPr/>
          <w:p>
            <w:pPr>
              <w:pStyle w:val="Compact"/>
              <w:jc w:val="center"/>
            </w:pPr>
            <w:r>
              <w:rPr>
                <w:i/>
                <w:iCs/>
              </w:rPr>
              <w:t xml:space="preserve">as threshold</w:t>
            </w:r>
          </w:p>
        </w:tc>
      </w:tr>
    </w:tbl>
    <w:bookmarkEnd w:id="197"/>
    <w:bookmarkStart w:id="198"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gcor-geocorr-sr</w:t>
            </w:r>
          </w:p>
        </w:tc>
        <w:tc>
          <w:tcPr/>
          <w:p>
            <w:pPr>
              <w:pStyle w:val="Compact"/>
            </w:pPr>
            <w:r>
              <w:t xml:space="preserve">Geometric Correction</w:t>
            </w:r>
          </w:p>
        </w:tc>
        <w:tc>
          <w:tcPr/>
          <w:p>
            <w:pPr>
              <w:pStyle w:val="Compact"/>
            </w:pPr>
          </w:p>
        </w:tc>
        <w:tc>
          <w:tcPr/>
          <w:p>
            <w:pPr>
              <w:pStyle w:val="Compact"/>
            </w:pPr>
          </w:p>
        </w:tc>
      </w:tr>
    </w:tbl>
    <w:p>
      <w:r>
        <w:br w:type="page"/>
      </w:r>
    </w:p>
    <w:bookmarkEnd w:id="198"/>
    <w:bookmarkEnd w:id="199"/>
    <w:bookmarkStart w:id="204"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00"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00"/>
    <w:bookmarkStart w:id="202"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4"/>
        </w:numPr>
      </w:pPr>
      <w:r>
        <w:t xml:space="preserve">that product has been assessed as meeting CEOS-ARD requirements by the agency responsible for production and distribution of the product, and</w:t>
      </w:r>
    </w:p>
    <w:p>
      <w:pPr>
        <w:pStyle w:val="Compact"/>
        <w:numPr>
          <w:ilvl w:val="0"/>
          <w:numId w:val="106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01">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02"/>
    <w:bookmarkStart w:id="203"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03"/>
    <w:bookmarkEnd w:id="204"/>
    <w:bookmarkStart w:id="215" w:name="references"/>
    <w:p>
      <w:pPr>
        <w:pStyle w:val="berschrift2"/>
      </w:pPr>
      <w:r>
        <w:t xml:space="preserve">References</w:t>
      </w:r>
    </w:p>
    <w:bookmarkStart w:id="214" w:name="refs"/>
    <w:bookmarkStart w:id="205"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05"/>
    <w:bookmarkStart w:id="207" w:name="ref-mills2014"/>
    <w:p>
      <w:pPr>
        <w:pStyle w:val="Literaturverzeichnis"/>
      </w:pPr>
      <w:r>
        <w:t xml:space="preserve">Mills, Stephen, and Steven Miller. 2014.</w:t>
      </w:r>
      <w:r>
        <w:t xml:space="preserve"> </w:t>
      </w:r>
      <w:r>
        <w:t xml:space="preserve">“VIIRS Day-Night Band (DNB) Calibration Methods for Improved Uniformity.”</w:t>
      </w:r>
      <w:r>
        <w:t xml:space="preserve"> </w:t>
      </w:r>
      <w:r>
        <w:rPr>
          <w:i/>
          <w:iCs/>
        </w:rPr>
        <w:t xml:space="preserve">Proceedings of SPIE - The International Society for Optical Engineering</w:t>
      </w:r>
      <w:r>
        <w:t xml:space="preserve"> </w:t>
      </w:r>
      <w:r>
        <w:t xml:space="preserve">9218 (October): 921809.</w:t>
      </w:r>
      <w:r>
        <w:t xml:space="preserve"> </w:t>
      </w:r>
      <w:hyperlink r:id="rId206">
        <w:r>
          <w:rPr>
            <w:rStyle w:val="Hyperlink"/>
          </w:rPr>
          <w:t xml:space="preserve">https://doi.org/10.1117/12.2060143</w:t>
        </w:r>
      </w:hyperlink>
      <w:r>
        <w:t xml:space="preserve">.</w:t>
      </w:r>
    </w:p>
    <w:bookmarkEnd w:id="207"/>
    <w:bookmarkStart w:id="209" w:name="ref-roman2018"/>
    <w:p>
      <w:pPr>
        <w:pStyle w:val="Literaturverzeichnis"/>
      </w:pPr>
      <w:r>
        <w:t xml:space="preserve">Román, Miguel O., Zhuosen Wang, Qingsong Sun, Virginia Kalb, Steven D. Miller, Andrew Molthan, Lori Schultz, et al. 2018.</w:t>
      </w:r>
      <w:r>
        <w:t xml:space="preserve"> </w:t>
      </w:r>
      <w:r>
        <w:t xml:space="preserve">“NASA’s Black Marble Nighttime Lights Product Suite.”</w:t>
      </w:r>
      <w:r>
        <w:t xml:space="preserve"> </w:t>
      </w:r>
      <w:r>
        <w:rPr>
          <w:i/>
          <w:iCs/>
        </w:rPr>
        <w:t xml:space="preserve">Remote Sensing of Environment</w:t>
      </w:r>
      <w:r>
        <w:t xml:space="preserve"> </w:t>
      </w:r>
      <w:r>
        <w:t xml:space="preserve">210: 113–43. https://doi.org/</w:t>
      </w:r>
      <w:hyperlink r:id="rId208">
        <w:r>
          <w:rPr>
            <w:rStyle w:val="Hyperlink"/>
          </w:rPr>
          <w:t xml:space="preserve">https://doi.org/10.1016/j.rse.2018.03.017</w:t>
        </w:r>
      </w:hyperlink>
      <w:r>
        <w:t xml:space="preserve">.</w:t>
      </w:r>
    </w:p>
    <w:bookmarkEnd w:id="209"/>
    <w:bookmarkStart w:id="211" w:name="ref-ryan2019"/>
    <w:p>
      <w:pPr>
        <w:pStyle w:val="Literaturverzeichnis"/>
      </w:pPr>
      <w:r>
        <w:t xml:space="preserve">Ryan, Robert E., Mary Pagnutti, Kara Burch, Larry Leigh, Timothy Ruggles, Changyong Cao, David Aaron, Slawomir Blonski, and Dennis Helder. 2019.</w:t>
      </w:r>
      <w:r>
        <w:t xml:space="preserve"> </w:t>
      </w:r>
      <w:r>
        <w:t xml:space="preserve">“The Terra Vega Active Light Source: A First Step in a New Approach to Perform Nighttime Absolute Radiometric Calibrations and Early Results Calibrating the VIIRS DNB.”</w:t>
      </w:r>
      <w:r>
        <w:t xml:space="preserve"> </w:t>
      </w:r>
      <w:r>
        <w:rPr>
          <w:i/>
          <w:iCs/>
        </w:rPr>
        <w:t xml:space="preserve">Remote Sensing</w:t>
      </w:r>
      <w:r>
        <w:t xml:space="preserve"> </w:t>
      </w:r>
      <w:r>
        <w:t xml:space="preserve">11 (6).</w:t>
      </w:r>
      <w:r>
        <w:t xml:space="preserve"> </w:t>
      </w:r>
      <w:hyperlink r:id="rId210">
        <w:r>
          <w:rPr>
            <w:rStyle w:val="Hyperlink"/>
          </w:rPr>
          <w:t xml:space="preserve">https://doi.org/10.3390/rs11060710</w:t>
        </w:r>
      </w:hyperlink>
      <w:r>
        <w:t xml:space="preserve">.</w:t>
      </w:r>
    </w:p>
    <w:bookmarkEnd w:id="211"/>
    <w:bookmarkStart w:id="213" w:name="ref-wang2021"/>
    <w:p>
      <w:pPr>
        <w:pStyle w:val="Literaturverzeichnis"/>
      </w:pPr>
      <w:r>
        <w:t xml:space="preserve">Wang, Zhuosen, Miguel O. Román, Virginia L. Kalb, Steven D. Miller, Jianglong Zhang, and Ranjay M. Shrestha. 2021.</w:t>
      </w:r>
      <w:r>
        <w:t xml:space="preserve"> </w:t>
      </w:r>
      <w:r>
        <w:t xml:space="preserve">“Quantifying Uncertainties in Nighttime Light Retrievals from Suomi-NPP and NOAA-20 VIIRS Day/Night Band Data.”</w:t>
      </w:r>
      <w:r>
        <w:t xml:space="preserve"> </w:t>
      </w:r>
      <w:r>
        <w:rPr>
          <w:i/>
          <w:iCs/>
        </w:rPr>
        <w:t xml:space="preserve">Remote Sensing of Environment</w:t>
      </w:r>
      <w:r>
        <w:t xml:space="preserve"> </w:t>
      </w:r>
      <w:r>
        <w:t xml:space="preserve">263: 112557. https://doi.org/</w:t>
      </w:r>
      <w:hyperlink r:id="rId212">
        <w:r>
          <w:rPr>
            <w:rStyle w:val="Hyperlink"/>
          </w:rPr>
          <w:t xml:space="preserve">https://doi.org/10.1016/j.rse.2021.112557</w:t>
        </w:r>
      </w:hyperlink>
      <w:r>
        <w:t xml:space="preserve">.</w:t>
      </w:r>
    </w:p>
    <w:bookmarkEnd w:id="213"/>
    <w:bookmarkEnd w:id="214"/>
    <w:bookmarkEnd w:id="215"/>
    <w:bookmarkEnd w:id="216"/>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23" Target="https://ceos.org/ard" TargetMode="External" /><Relationship Type="http://schemas.openxmlformats.org/officeDocument/2006/relationships/hyperlink" Id="rId201" Target="https://ceos.org/ard/files/CEOS_ARD_Governance_Framework_18-October-2021.pdf" TargetMode="External" /><Relationship Type="http://schemas.openxmlformats.org/officeDocument/2006/relationships/hyperlink" Id="rId208" Target="https://doi.org/10.1016/j.rse.2018.03.017" TargetMode="External" /><Relationship Type="http://schemas.openxmlformats.org/officeDocument/2006/relationships/hyperlink" Id="rId212" Target="https://doi.org/10.1016/j.rse.2021.112557" TargetMode="External" /><Relationship Type="http://schemas.openxmlformats.org/officeDocument/2006/relationships/hyperlink" Id="rId206" Target="https://doi.org/10.1117/12.2060143" TargetMode="External" /><Relationship Type="http://schemas.openxmlformats.org/officeDocument/2006/relationships/hyperlink" Id="rId210" Target="https://doi.org/10.3390/rs11060710" TargetMode="External" /><Relationship Type="http://schemas.openxmlformats.org/officeDocument/2006/relationships/hyperlink" Id="rId25"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3" Target="https://ceos.org/ard" TargetMode="External" /><Relationship Type="http://schemas.openxmlformats.org/officeDocument/2006/relationships/hyperlink" Id="rId201" Target="https://ceos.org/ard/files/CEOS_ARD_Governance_Framework_18-October-2021.pdf" TargetMode="External" /><Relationship Type="http://schemas.openxmlformats.org/officeDocument/2006/relationships/hyperlink" Id="rId208" Target="https://doi.org/10.1016/j.rse.2018.03.017" TargetMode="External" /><Relationship Type="http://schemas.openxmlformats.org/officeDocument/2006/relationships/hyperlink" Id="rId212" Target="https://doi.org/10.1016/j.rse.2021.112557" TargetMode="External" /><Relationship Type="http://schemas.openxmlformats.org/officeDocument/2006/relationships/hyperlink" Id="rId206" Target="https://doi.org/10.1117/12.2060143" TargetMode="External" /><Relationship Type="http://schemas.openxmlformats.org/officeDocument/2006/relationships/hyperlink" Id="rId210" Target="https://doi.org/10.3390/rs11060710" TargetMode="External" /><Relationship Type="http://schemas.openxmlformats.org/officeDocument/2006/relationships/hyperlink" Id="rId25"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Nighttime Lights Surface Radiance - Version 1.0.1-draft</dc:title>
  <dc:creator/>
  <dc:language>en</dc:language>
  <cp:keywords/>
  <dcterms:created xsi:type="dcterms:W3CDTF">2026-04-23T19:03:29Z</dcterms:created>
  <dcterms:modified xsi:type="dcterms:W3CDTF">2026-04-23T19:03:29Z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/home/runner/work/ceos-ard/ceos-ard/build/NLSR.bib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