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2" w:name="Xf322761420ba12cd249c8be342647b2908c150a"/>
    <w:p>
      <w:pPr>
        <w:pStyle w:val="berschrift1"/>
      </w:pPr>
      <w:r>
        <w:t xml:space="preserve">CEOS-ARD - Synthetic Aperture Radar - Normalised Radar Backscatter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7"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6"/>
    <w:bookmarkEnd w:id="157"/>
    <w:bookmarkEnd w:id="158"/>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2"/>
    <w:bookmarkStart w:id="173"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4"/>
    <w:bookmarkStart w:id="185"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8"/>
    <w:bookmarkStart w:id="189"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6"/>
    <w:bookmarkStart w:id="197"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7"/>
    <w:bookmarkEnd w:id="198"/>
    <w:bookmarkEnd w:id="199"/>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0" w:name="threshold-requirements-40"/>
    <w:p>
      <w:pPr>
        <w:pStyle w:val="berschrift5"/>
      </w:pPr>
      <w:r>
        <w:t xml:space="preserve">Threshold requirements:</w:t>
      </w:r>
    </w:p>
    <w:p>
      <w:pPr>
        <w:pStyle w:val="FirstParagraph"/>
      </w:pPr>
      <w:r>
        <w:t xml:space="preserve">Not required.</w:t>
      </w:r>
      <w:r>
        <w:t xml:space="preserve"> </w:t>
      </w:r>
    </w:p>
    <w:bookmarkEnd w:id="200"/>
    <w:bookmarkStart w:id="201" w:name="goal-requirements-40"/>
    <w:p>
      <w:pPr>
        <w:pStyle w:val="berschrift5"/>
      </w:pPr>
      <w:r>
        <w:t xml:space="preserve">Goal requirements:</w:t>
      </w:r>
    </w:p>
    <w:p>
      <w:pPr>
        <w:pStyle w:val="FirstParagraph"/>
      </w:pPr>
      <w:r>
        <w:t xml:space="preserve">All files are provided using cloud-optimized file formats.</w:t>
      </w:r>
    </w:p>
    <w:bookmarkEnd w:id="201"/>
    <w:bookmarkStart w:id="202"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sec:rcm-backsca-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204"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w:t>
      </w:r>
    </w:p>
    <w:p>
      <w:pPr>
        <w:pStyle w:val="Compact"/>
        <w:numPr>
          <w:ilvl w:val="0"/>
          <w:numId w:val="1072"/>
        </w:numPr>
      </w:pPr>
      <w:r>
        <w:t xml:space="preserve">Transformation to the logarithm decibel scale is not required or desired as this step can be easily completed by the user if necessary.</w:t>
      </w:r>
    </w:p>
    <w:bookmarkEnd w:id="204"/>
    <w:bookmarkStart w:id="205" w:name="goal-requirements-41"/>
    <w:p>
      <w:pPr>
        <w:pStyle w:val="berschrift5"/>
      </w:pPr>
      <w:r>
        <w:t xml:space="preserve">Goal requirements:</w:t>
      </w:r>
    </w:p>
    <w:p>
      <w:pPr>
        <w:pStyle w:val="FirstParagraph"/>
      </w:pPr>
      <w:r>
        <w:t xml:space="preserve">As threshold.</w:t>
      </w:r>
      <w:r>
        <w:t xml:space="preserve"> </w:t>
      </w:r>
    </w:p>
    <w:bookmarkEnd w:id="205"/>
    <w:bookmarkStart w:id="206"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6"/>
    <w:bookmarkEnd w:id="207"/>
    <w:bookmarkStart w:id="21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8"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8"/>
    <w:bookmarkStart w:id="209" w:name="goal-requirements-42"/>
    <w:p>
      <w:pPr>
        <w:pStyle w:val="berschrift5"/>
      </w:pPr>
      <w:r>
        <w:t xml:space="preserve">Goal requirements:</w:t>
      </w:r>
    </w:p>
    <w:p>
      <w:pPr>
        <w:pStyle w:val="FirstParagraph"/>
      </w:pPr>
      <w:r>
        <w:t xml:space="preserve">As threshold, but use of float32.</w:t>
      </w:r>
    </w:p>
    <w:bookmarkEnd w:id="209"/>
    <w:bookmarkStart w:id="210"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2"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2"/>
    <w:bookmarkStart w:id="213" w:name="goal-requirements-43"/>
    <w:p>
      <w:pPr>
        <w:pStyle w:val="berschrift5"/>
      </w:pPr>
      <w:r>
        <w:t xml:space="preserve">Goal requirements:</w:t>
      </w:r>
    </w:p>
    <w:p>
      <w:pPr>
        <w:pStyle w:val="FirstParagraph"/>
      </w:pPr>
      <w:r>
        <w:t xml:space="preserve">As threshold.</w:t>
      </w:r>
      <w:r>
        <w:t xml:space="preserve"> </w:t>
      </w:r>
    </w:p>
    <w:bookmarkEnd w:id="213"/>
    <w:bookmarkStart w:id="214"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4"/>
    <w:bookmarkEnd w:id="215"/>
    <w:bookmarkStart w:id="219"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6"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6"/>
    <w:bookmarkStart w:id="217" w:name="goal-requirements-44"/>
    <w:p>
      <w:pPr>
        <w:pStyle w:val="berschrift5"/>
      </w:pPr>
      <w:r>
        <w:t xml:space="preserve">Goal requirements:</w:t>
      </w:r>
    </w:p>
    <w:p>
      <w:pPr>
        <w:pStyle w:val="FirstParagraph"/>
      </w:pPr>
      <w:r>
        <w:t xml:space="preserve">As threshold.</w:t>
      </w:r>
      <w:r>
        <w:t xml:space="preserve"> </w:t>
      </w:r>
    </w:p>
    <w:bookmarkEnd w:id="217"/>
    <w:bookmarkStart w:id="218"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2"/>
    <w:bookmarkEnd w:id="223"/>
    <w:bookmarkStart w:id="227"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5"/>
    <w:bookmarkStart w:id="226"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7"/>
    <w:p>
      <w:pPr>
        <w:pStyle w:val="berschrift5"/>
      </w:pPr>
      <w:r>
        <w:t xml:space="preserve">Threshold requirements:</w:t>
      </w:r>
    </w:p>
    <w:p>
      <w:pPr>
        <w:pStyle w:val="FirstParagraph"/>
      </w:pPr>
      <w:r>
        <w:t xml:space="preserve">Not required.</w:t>
      </w:r>
      <w:r>
        <w:t xml:space="preserve"> </w:t>
      </w:r>
    </w:p>
    <w:bookmarkEnd w:id="229"/>
    <w:bookmarkStart w:id="230"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0"/>
    <w:bookmarkStart w:id="231"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3"/>
    <w:bookmarkStart w:id="234"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4"/>
    <w:bookmarkStart w:id="235"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50"/>
    <w:p>
      <w:pPr>
        <w:pStyle w:val="berschrift5"/>
      </w:pPr>
      <w:r>
        <w:t xml:space="preserve">Threshold requirements:</w:t>
      </w:r>
    </w:p>
    <w:p>
      <w:pPr>
        <w:pStyle w:val="FirstParagraph"/>
      </w:pPr>
      <w:r>
        <w:t xml:space="preserve">Not required.</w:t>
      </w:r>
      <w:r>
        <w:t xml:space="preserve"> </w:t>
      </w:r>
    </w:p>
    <w:bookmarkEnd w:id="241"/>
    <w:bookmarkStart w:id="242"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5"/>
    <w:bookmarkStart w:id="246"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79" w:name="references"/>
    <w:p>
      <w:pPr>
        <w:pStyle w:val="berschrift2"/>
      </w:pPr>
      <w:r>
        <w:t xml:space="preserve">References</w:t>
      </w:r>
    </w:p>
    <w:bookmarkStart w:id="278" w:name="refs"/>
    <w:bookmarkStart w:id="26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3"/>
    <w:bookmarkStart w:id="26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4">
        <w:r>
          <w:rPr>
            <w:rStyle w:val="Hyperlink"/>
          </w:rPr>
          <w:t xml:space="preserve">https://doi.org/10.1109/TGRS.2008.2002881</w:t>
        </w:r>
      </w:hyperlink>
      <w:r>
        <w:t xml:space="preserve">.</w:t>
      </w:r>
    </w:p>
    <w:bookmarkEnd w:id="265"/>
    <w:bookmarkStart w:id="267"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6">
        <w:r>
          <w:rPr>
            <w:rStyle w:val="Hyperlink"/>
          </w:rPr>
          <w:t xml:space="preserve">https://doi.org/10.1029/2011JE003986</w:t>
        </w:r>
      </w:hyperlink>
      <w:r>
        <w:t xml:space="preserve">.</w:t>
      </w:r>
    </w:p>
    <w:bookmarkEnd w:id="267"/>
    <w:bookmarkStart w:id="269"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8">
        <w:r>
          <w:rPr>
            <w:rStyle w:val="Hyperlink"/>
          </w:rPr>
          <w:t xml:space="preserve">https://doi.org/10.1109/TGRS.2022.3147472</w:t>
        </w:r>
      </w:hyperlink>
      <w:r>
        <w:t xml:space="preserve">.</w:t>
      </w:r>
    </w:p>
    <w:bookmarkEnd w:id="269"/>
    <w:bookmarkStart w:id="271"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0">
        <w:r>
          <w:rPr>
            <w:rStyle w:val="Hyperlink"/>
          </w:rPr>
          <w:t xml:space="preserve">https://doi.org/10.1109/TGRS.2011.2120616</w:t>
        </w:r>
      </w:hyperlink>
      <w:r>
        <w:t xml:space="preserve">.</w:t>
      </w:r>
    </w:p>
    <w:bookmarkEnd w:id="271"/>
    <w:bookmarkStart w:id="27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2">
        <w:r>
          <w:rPr>
            <w:rStyle w:val="Hyperlink"/>
          </w:rPr>
          <w:t xml:space="preserve">https://doi.org/10.1109/TGRS.2010.2099124</w:t>
        </w:r>
      </w:hyperlink>
      <w:r>
        <w:t xml:space="preserve">.</w:t>
      </w:r>
    </w:p>
    <w:bookmarkEnd w:id="273"/>
    <w:bookmarkStart w:id="27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4">
        <w:r>
          <w:rPr>
            <w:rStyle w:val="Hyperlink"/>
          </w:rPr>
          <w:t xml:space="preserve">https://doi.org/10.1109/LGRS.2017.2753580</w:t>
        </w:r>
      </w:hyperlink>
      <w:r>
        <w:t xml:space="preserve">.</w:t>
      </w:r>
    </w:p>
    <w:bookmarkEnd w:id="275"/>
    <w:bookmarkStart w:id="27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6">
        <w:r>
          <w:rPr>
            <w:rStyle w:val="Hyperlink"/>
          </w:rPr>
          <w:t xml:space="preserve">https://doi.org/10.1109/TGRS.2010.2051333</w:t>
        </w:r>
      </w:hyperlink>
      <w:r>
        <w:t xml:space="preserve">.</w:t>
      </w:r>
    </w:p>
    <w:bookmarkEnd w:id="277"/>
    <w:bookmarkEnd w:id="278"/>
    <w:p>
      <w:r>
        <w:br w:type="page"/>
      </w:r>
    </w:p>
    <w:bookmarkEnd w:id="279"/>
    <w:bookmarkStart w:id="301" w:name="annexes"/>
    <w:p>
      <w:pPr>
        <w:pStyle w:val="berschrift2"/>
      </w:pPr>
      <w:r>
        <w:t xml:space="preserve">Annexes</w:t>
      </w:r>
    </w:p>
    <w:bookmarkStart w:id="28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0"/>
    <w:bookmarkEnd w:id="281"/>
    <w:bookmarkStart w:id="29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2"/>
    </w:p>
    <w:p>
      <w:pPr>
        <w:pStyle w:val="FirstParagraph"/>
      </w:pPr>
      <w:r>
        <w:t xml:space="preserve">Where</w:t>
      </w:r>
    </w:p>
    <w:p>
      <w:pPr>
        <w:pStyle w:val="Textkrper"/>
      </w:pPr>
      <w:bookmarkStart w:id="28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5"/>
    </w:p>
    <w:p>
      <w:pPr>
        <w:pStyle w:val="FirstParagraph"/>
      </w:pPr>
      <w:bookmarkStart w:id="28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6"/>
    </w:p>
    <w:p>
      <w:pPr>
        <w:pStyle w:val="FirstParagraph"/>
      </w:pPr>
      <w:r>
        <w:t xml:space="preserve">The differential phase is</w:t>
      </w:r>
    </w:p>
    <w:p>
      <w:pPr>
        <w:pStyle w:val="Textkrper"/>
      </w:pPr>
      <w:bookmarkStart w:id="28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8"/>
    </w:p>
    <w:p>
      <w:pPr>
        <w:pStyle w:val="FirstParagraph"/>
      </w:pPr>
      <w:bookmarkStart w:id="28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9"/>
    </w:p>
    <w:p>
      <w:pPr>
        <w:pStyle w:val="FirstParagraph"/>
      </w:pPr>
      <w:bookmarkStart w:id="29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2"/>
    </w:p>
    <w:bookmarkEnd w:id="293"/>
    <w:bookmarkStart w:id="30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5"/>
    </w:p>
    <w:p>
      <w:pPr>
        <w:pStyle w:val="FirstParagraph"/>
      </w:pPr>
      <w:bookmarkStart w:id="29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6"/>
    </w:p>
    <w:p>
      <w:pPr>
        <w:pStyle w:val="FirstParagraph"/>
      </w:pPr>
      <w:bookmarkStart w:id="29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9"/>
    </w:p>
    <w:bookmarkEnd w:id="300"/>
    <w:bookmarkEnd w:id="301"/>
    <w:bookmarkEnd w:id="302"/>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4"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76" Target="https://doi.org/10.1109/TGRS.2010.2051333" TargetMode="External" /><Relationship Type="http://schemas.openxmlformats.org/officeDocument/2006/relationships/hyperlink" Id="rId272"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4"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76" Target="https://doi.org/10.1109/TGRS.2010.2051333" TargetMode="External" /><Relationship Type="http://schemas.openxmlformats.org/officeDocument/2006/relationships/hyperlink" Id="rId272"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2026-04-23T19:03:25Z</dcterms:created>
  <dcterms:modified xsi:type="dcterms:W3CDTF">2026-04-23T19:03:25Z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