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6.png" ContentType="image/png"/>
  <Override PartName="/word/media/rId302.png" ContentType="image/png"/>
  <Override PartName="/word/media/rId310.png" ContentType="image/png"/>
  <Override PartName="/word/media/rId322.png" ContentType="image/png"/>
  <Override PartName="/word/media/rId314.png" ContentType="image/png"/>
  <Override PartName="/word/media/rId3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8" w:name="X405d8e65832ac294d4126c2e16ac6a514f2a68e"/>
    <w:p>
      <w:pPr>
        <w:pStyle w:val="berschrift1"/>
      </w:pPr>
      <w:r>
        <w:t xml:space="preserve">CEOS-ARD - Synthetic Aperture Radar - Ocean Radar Backscatter</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Equivalent Number of Looks (ENL)</w:t>
      </w:r>
    </w:p>
    <w:bookmarkEnd w:id="123"/>
    <w:bookmarkStart w:id="124"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0"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2"/>
    <w:bookmarkEnd w:id="133"/>
    <w:bookmarkStart w:id="137"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4"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6"/>
    <w:bookmarkEnd w:id="137"/>
    <w:bookmarkStart w:id="141"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8"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0"/>
    <w:bookmarkEnd w:id="141"/>
    <w:bookmarkStart w:id="145"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2"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4"/>
    <w:bookmarkEnd w:id="145"/>
    <w:bookmarkStart w:id="149"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6"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8"/>
    <w:bookmarkEnd w:id="149"/>
    <w:bookmarkStart w:id="153"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0"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2"/>
    <w:bookmarkEnd w:id="153"/>
    <w:bookmarkStart w:id="158"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5"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lookdiri">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4"/>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5"/>
    <w:bookmarkStart w:id="156" w:name="goal-requirements-29"/>
    <w:p>
      <w:pPr>
        <w:pStyle w:val="berschrift5"/>
      </w:pPr>
      <w:r>
        <w:t xml:space="preserve">Goal requirements:</w:t>
      </w:r>
    </w:p>
    <w:p>
      <w:pPr>
        <w:pStyle w:val="FirstParagraph"/>
      </w:pPr>
      <w:r>
        <w:t xml:space="preserve">As threshold.</w:t>
      </w:r>
      <w:r>
        <w:t xml:space="preserve"> </w:t>
      </w:r>
    </w:p>
    <w:bookmarkEnd w:id="156"/>
    <w:bookmarkStart w:id="157"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57"/>
    <w:bookmarkEnd w:id="158"/>
    <w:bookmarkEnd w:id="159"/>
    <w:bookmarkStart w:id="200"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3"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0" w:name="threshold-requirements-30"/>
    <w:p>
      <w:pPr>
        <w:pStyle w:val="berschrift5"/>
      </w:pPr>
      <w:r>
        <w:t xml:space="preserve">Threshold requirements:</w:t>
      </w:r>
    </w:p>
    <w:p>
      <w:pPr>
        <w:pStyle w:val="FirstParagraph"/>
      </w:pPr>
      <w:r>
        <w:t xml:space="preserve">Not required.</w:t>
      </w:r>
      <w:r>
        <w:t xml:space="preserve"> </w:t>
      </w:r>
    </w:p>
    <w:bookmarkEnd w:id="160"/>
    <w:bookmarkStart w:id="161" w:name="goal-requirements-30"/>
    <w:p>
      <w:pPr>
        <w:pStyle w:val="berschrift5"/>
      </w:pPr>
      <w:r>
        <w:t xml:space="preserve">Goal requirements:</w:t>
      </w:r>
    </w:p>
    <w:p>
      <w:pPr>
        <w:pStyle w:val="FirstParagraph"/>
      </w:pPr>
      <w:r>
        <w:t xml:space="preserve">All files are provided using cloud-optimized file formats.</w:t>
      </w:r>
    </w:p>
    <w:bookmarkEnd w:id="161"/>
    <w:bookmarkStart w:id="162"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2"/>
    <w:bookmarkEnd w:id="163"/>
    <w:bookmarkStart w:id="167"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4"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4"/>
    <w:bookmarkStart w:id="165"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5"/>
    <w:bookmarkStart w:id="166"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8"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68"/>
    <w:bookmarkStart w:id="169"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69"/>
    <w:bookmarkStart w:id="170"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2" w:name="threshold-requirements-33"/>
    <w:p>
      <w:pPr>
        <w:pStyle w:val="berschrift5"/>
      </w:pPr>
      <w:r>
        <w:t xml:space="preserve">Threshold requirements:</w:t>
      </w:r>
    </w:p>
    <w:p>
      <w:pPr>
        <w:pStyle w:val="FirstParagraph"/>
      </w:pPr>
      <w:r>
        <w:t xml:space="preserve">Not required.</w:t>
      </w:r>
      <w:r>
        <w:t xml:space="preserve"> </w:t>
      </w:r>
    </w:p>
    <w:bookmarkEnd w:id="172"/>
    <w:bookmarkStart w:id="173"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3"/>
    <w:bookmarkStart w:id="174"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4"/>
    <w:bookmarkEnd w:id="175"/>
    <w:bookmarkStart w:id="179"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6"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w:t>
      </w:r>
    </w:p>
    <w:p>
      <w:pPr>
        <w:pStyle w:val="Compact"/>
        <w:numPr>
          <w:ilvl w:val="0"/>
          <w:numId w:val="1058"/>
        </w:numPr>
      </w:pPr>
      <w:r>
        <w:t xml:space="preserve">For maritime ORB scenes when no land areas are covered, a geoid model could be used for the calculation of the local incident angle.</w:t>
      </w:r>
    </w:p>
    <w:bookmarkEnd w:id="176"/>
    <w:bookmarkStart w:id="177" w:name="goal-requirements-34"/>
    <w:p>
      <w:pPr>
        <w:pStyle w:val="berschrift5"/>
      </w:pPr>
      <w:r>
        <w:t xml:space="preserve">Goal requirements:</w:t>
      </w:r>
    </w:p>
    <w:p>
      <w:pPr>
        <w:pStyle w:val="FirstParagraph"/>
      </w:pPr>
      <w:r>
        <w:t xml:space="preserve">As threshold.</w:t>
      </w:r>
      <w:r>
        <w:t xml:space="preserve"> </w:t>
      </w:r>
    </w:p>
    <w:bookmarkEnd w:id="177"/>
    <w:bookmarkStart w:id="178"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8"/>
    <w:bookmarkEnd w:id="179"/>
    <w:bookmarkStart w:id="183"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0" w:name="threshold-requirements-35"/>
    <w:p>
      <w:pPr>
        <w:pStyle w:val="berschrift5"/>
      </w:pPr>
      <w:r>
        <w:t xml:space="preserve">Threshold requirements:</w:t>
      </w:r>
    </w:p>
    <w:p>
      <w:pPr>
        <w:pStyle w:val="FirstParagraph"/>
      </w:pPr>
      <w:r>
        <w:t xml:space="preserve">Not required.</w:t>
      </w:r>
      <w:r>
        <w:t xml:space="preserve"> </w:t>
      </w:r>
    </w:p>
    <w:bookmarkEnd w:id="180"/>
    <w:bookmarkStart w:id="181"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w:t>
      </w:r>
    </w:p>
    <w:p>
      <w:pPr>
        <w:pStyle w:val="Compact"/>
        <w:numPr>
          <w:ilvl w:val="0"/>
          <w:numId w:val="1061"/>
        </w:numPr>
      </w:pPr>
      <w:r>
        <w:t xml:space="preserve">For maritime ORB scenes when no land areas are covered, the ellipsoidal incident angle is nearly identical to the geoid based local incident angle.</w:t>
      </w:r>
    </w:p>
    <w:bookmarkEnd w:id="181"/>
    <w:bookmarkStart w:id="182"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4" w:name="threshold-requirements-36"/>
    <w:p>
      <w:pPr>
        <w:pStyle w:val="berschrift5"/>
      </w:pPr>
      <w:r>
        <w:t xml:space="preserve">Threshold requirements:</w:t>
      </w:r>
    </w:p>
    <w:p>
      <w:pPr>
        <w:pStyle w:val="FirstParagraph"/>
      </w:pPr>
      <w:r>
        <w:t xml:space="preserve">Not required.</w:t>
      </w:r>
      <w:r>
        <w:t xml:space="preserve"> </w:t>
      </w:r>
    </w:p>
    <w:bookmarkEnd w:id="184"/>
    <w:bookmarkStart w:id="185"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acq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88"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7"/>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i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2" w:name="threshold-requirements-38"/>
    <w:p>
      <w:pPr>
        <w:pStyle w:val="berschrift5"/>
      </w:pPr>
      <w:r>
        <w:t xml:space="preserve">Threshold requirements:</w:t>
      </w:r>
    </w:p>
    <w:p>
      <w:pPr>
        <w:pStyle w:val="FirstParagraph"/>
      </w:pPr>
      <w:r>
        <w:t xml:space="preserve">Not required.</w:t>
      </w:r>
      <w:r>
        <w:t xml:space="preserve"> </w:t>
      </w:r>
    </w:p>
    <w:bookmarkEnd w:id="192"/>
    <w:bookmarkStart w:id="193"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3"/>
    <w:bookmarkStart w:id="194"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4"/>
    <w:bookmarkEnd w:id="195"/>
    <w:bookmarkStart w:id="199" w:name="sec:pxl-lookdiri"/>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6" w:name="threshold-requirements-39"/>
    <w:p>
      <w:pPr>
        <w:pStyle w:val="berschrift5"/>
      </w:pPr>
      <w:r>
        <w:t xml:space="preserve">Threshold requirements:</w:t>
      </w:r>
    </w:p>
    <w:p>
      <w:pPr>
        <w:pStyle w:val="FirstParagraph"/>
      </w:pPr>
      <w:r>
        <w:t xml:space="preserve">Not required.</w:t>
      </w:r>
      <w:r>
        <w:t xml:space="preserve"> </w:t>
      </w:r>
    </w:p>
    <w:bookmarkEnd w:id="196"/>
    <w:bookmarkStart w:id="197"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197"/>
    <w:bookmarkStart w:id="198"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198"/>
    <w:bookmarkEnd w:id="199"/>
    <w:bookmarkEnd w:id="200"/>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4"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1" w:name="threshold-requirements-40"/>
    <w:p>
      <w:pPr>
        <w:pStyle w:val="berschrift5"/>
      </w:pPr>
      <w:r>
        <w:t xml:space="preserve">Threshold requirements:</w:t>
      </w:r>
    </w:p>
    <w:p>
      <w:pPr>
        <w:pStyle w:val="FirstParagraph"/>
      </w:pPr>
      <w:r>
        <w:t xml:space="preserve">Not required.</w:t>
      </w:r>
      <w:r>
        <w:t xml:space="preserve"> </w:t>
      </w:r>
    </w:p>
    <w:bookmarkEnd w:id="201"/>
    <w:bookmarkStart w:id="202" w:name="goal-requirements-40"/>
    <w:p>
      <w:pPr>
        <w:pStyle w:val="berschrift5"/>
      </w:pPr>
      <w:r>
        <w:t xml:space="preserve">Goal requirements:</w:t>
      </w:r>
    </w:p>
    <w:p>
      <w:pPr>
        <w:pStyle w:val="FirstParagraph"/>
      </w:pPr>
      <w:r>
        <w:t xml:space="preserve">All files are provided using cloud-optimized file formats.</w:t>
      </w:r>
    </w:p>
    <w:bookmarkEnd w:id="202"/>
    <w:bookmarkStart w:id="203"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3"/>
    <w:bookmarkEnd w:id="204"/>
    <w:bookmarkStart w:id="208" w:name="sec:rcm-backsca-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5"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Transformation to the logarithm decibel scale is not required or desired as this step can be easily completed by the user if necessary.</w:t>
      </w:r>
    </w:p>
    <w:bookmarkEnd w:id="205"/>
    <w:bookmarkStart w:id="206"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6"/>
    <w:bookmarkStart w:id="207"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7"/>
    <w:bookmarkEnd w:id="208"/>
    <w:bookmarkStart w:id="212"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9"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9"/>
    <w:bookmarkStart w:id="210" w:name="goal-requirements-42"/>
    <w:p>
      <w:pPr>
        <w:pStyle w:val="berschrift5"/>
      </w:pPr>
      <w:r>
        <w:t xml:space="preserve">Goal requirements:</w:t>
      </w:r>
    </w:p>
    <w:p>
      <w:pPr>
        <w:pStyle w:val="FirstParagraph"/>
      </w:pPr>
      <w:r>
        <w:t xml:space="preserve">As threshold, but use of float32.</w:t>
      </w:r>
    </w:p>
    <w:bookmarkEnd w:id="210"/>
    <w:bookmarkStart w:id="211"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3"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6"/>
        </w:numPr>
      </w:pPr>
      <w:r>
        <w:t xml:space="preserve">Thermal noise removal and image border noise removal to remove overall scene noise and scene edge artefacts, respectively.</w:t>
      </w:r>
    </w:p>
    <w:bookmarkEnd w:id="213"/>
    <w:bookmarkStart w:id="214" w:name="goal-requirements-43"/>
    <w:p>
      <w:pPr>
        <w:pStyle w:val="berschrift5"/>
      </w:pPr>
      <w:r>
        <w:t xml:space="preserve">Goal requirements:</w:t>
      </w:r>
    </w:p>
    <w:p>
      <w:pPr>
        <w:pStyle w:val="FirstParagraph"/>
      </w:pPr>
      <w:r>
        <w:t xml:space="preserve">As threshold.</w:t>
      </w:r>
      <w:r>
        <w:t xml:space="preserve"> </w:t>
      </w:r>
    </w:p>
    <w:bookmarkEnd w:id="214"/>
    <w:bookmarkStart w:id="215"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5"/>
    <w:bookmarkEnd w:id="216"/>
    <w:bookmarkStart w:id="220"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7" w:name="threshold-requirements-44"/>
    <w:p>
      <w:pPr>
        <w:pStyle w:val="berschrift5"/>
      </w:pPr>
      <w:r>
        <w:t xml:space="preserve">Threshold requirements:</w:t>
      </w:r>
    </w:p>
    <w:p>
      <w:pPr>
        <w:pStyle w:val="FirstParagraph"/>
      </w:pPr>
      <w:r>
        <w:t xml:space="preserve">Not required.</w:t>
      </w:r>
      <w:r>
        <w:t xml:space="preserve"> </w:t>
      </w:r>
    </w:p>
    <w:bookmarkEnd w:id="217"/>
    <w:bookmarkStart w:id="218"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9"/>
    <w:bookmarkEnd w:id="220"/>
    <w:bookmarkStart w:id="224" w:name="sec:rcm-backsmwn"/>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21" w:name="threshold-requirements-45"/>
    <w:p>
      <w:pPr>
        <w:pStyle w:val="berschrift5"/>
      </w:pPr>
      <w:r>
        <w:t xml:space="preserve">Threshold requirements:</w:t>
      </w:r>
    </w:p>
    <w:p>
      <w:pPr>
        <w:pStyle w:val="FirstParagraph"/>
      </w:pPr>
      <w:r>
        <w:t xml:space="preserve">Not required.</w:t>
      </w:r>
      <w:r>
        <w:t xml:space="preserve"> </w:t>
      </w:r>
    </w:p>
    <w:bookmarkEnd w:id="221"/>
    <w:bookmarkStart w:id="222"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Reference wind model, wind speed and direction used for reference backscattering coefficient should be provided.</w:t>
      </w:r>
    </w:p>
    <w:bookmarkEnd w:id="222"/>
    <w:bookmarkStart w:id="223"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0"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4"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2"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50"/>
    <w:bookmarkStart w:id="25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80" w:name="references"/>
    <w:p>
      <w:pPr>
        <w:pStyle w:val="berschrift2"/>
      </w:pPr>
      <w:r>
        <w:t xml:space="preserve">References</w:t>
      </w:r>
    </w:p>
    <w:bookmarkStart w:id="279"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9">
        <w:r>
          <w:rPr>
            <w:rStyle w:val="Hyperlink"/>
          </w:rPr>
          <w:t xml:space="preserve">https://doi.org/10.1080/07038992.2000.10874781</w:t>
        </w:r>
      </w:hyperlink>
      <w:r>
        <w:t xml:space="preserve">.</w:t>
      </w:r>
    </w:p>
    <w:bookmarkEnd w:id="270"/>
    <w:bookmarkStart w:id="27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1">
        <w:r>
          <w:rPr>
            <w:rStyle w:val="Hyperlink"/>
          </w:rPr>
          <w:t xml:space="preserve">https://doi.org/10.1109/TGRS.2010.2099124</w:t>
        </w:r>
      </w:hyperlink>
      <w:r>
        <w:t xml:space="preserve">.</w:t>
      </w:r>
    </w:p>
    <w:bookmarkEnd w:id="272"/>
    <w:bookmarkStart w:id="274"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3">
        <w:r>
          <w:rPr>
            <w:rStyle w:val="Hyperlink"/>
          </w:rPr>
          <w:t xml:space="preserve">https://doi.org/10.1029/97JC01911</w:t>
        </w:r>
      </w:hyperlink>
      <w:r>
        <w:t xml:space="preserve">.</w:t>
      </w:r>
    </w:p>
    <w:bookmarkEnd w:id="274"/>
    <w:bookmarkStart w:id="276"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5">
        <w:r>
          <w:rPr>
            <w:rStyle w:val="Hyperlink"/>
          </w:rPr>
          <w:t xml:space="preserve">https://doi.org/10.1109/LGRS.2017.2753580</w:t>
        </w:r>
      </w:hyperlink>
      <w:r>
        <w:t xml:space="preserve">.</w:t>
      </w:r>
    </w:p>
    <w:bookmarkEnd w:id="276"/>
    <w:bookmarkStart w:id="278"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7">
        <w:r>
          <w:rPr>
            <w:rStyle w:val="Hyperlink"/>
          </w:rPr>
          <w:t xml:space="preserve">https://doi.org/10.1109/TGRS.2010.2051333</w:t>
        </w:r>
      </w:hyperlink>
      <w:r>
        <w:t xml:space="preserve">.</w:t>
      </w:r>
    </w:p>
    <w:bookmarkEnd w:id="278"/>
    <w:bookmarkEnd w:id="279"/>
    <w:p>
      <w:r>
        <w:br w:type="page"/>
      </w:r>
    </w:p>
    <w:bookmarkEnd w:id="280"/>
    <w:bookmarkStart w:id="327" w:name="annexes"/>
    <w:p>
      <w:pPr>
        <w:pStyle w:val="berschrift2"/>
      </w:pPr>
      <w:r>
        <w:t xml:space="preserve">Annexes</w:t>
      </w:r>
    </w:p>
    <w:bookmarkStart w:id="28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1"/>
    <w:bookmarkEnd w:id="282"/>
    <w:bookmarkStart w:id="29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3"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3"/>
    </w:p>
    <w:p>
      <w:pPr>
        <w:pStyle w:val="FirstParagraph"/>
      </w:pPr>
      <w:r>
        <w:t xml:space="preserve">Where</w:t>
      </w:r>
    </w:p>
    <w:p>
      <w:pPr>
        <w:pStyle w:val="Textkrper"/>
      </w:pPr>
      <w:bookmarkStart w:id="284"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6"/>
    </w:p>
    <w:p>
      <w:pPr>
        <w:pStyle w:val="FirstParagraph"/>
      </w:pPr>
      <w:bookmarkStart w:id="28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7"/>
    </w:p>
    <w:p>
      <w:pPr>
        <w:pStyle w:val="FirstParagraph"/>
      </w:pPr>
      <w:r>
        <w:t xml:space="preserve">The differential phase is</w:t>
      </w:r>
    </w:p>
    <w:p>
      <w:pPr>
        <w:pStyle w:val="Textkrper"/>
      </w:pPr>
      <w:bookmarkStart w:id="288"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9"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9"/>
    </w:p>
    <w:p>
      <w:pPr>
        <w:pStyle w:val="FirstParagraph"/>
      </w:pPr>
      <w:bookmarkStart w:id="290"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0"/>
    </w:p>
    <w:p>
      <w:pPr>
        <w:pStyle w:val="FirstParagraph"/>
      </w:pPr>
      <w:bookmarkStart w:id="291"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1"/>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2"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3"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3"/>
    </w:p>
    <w:bookmarkEnd w:id="294"/>
    <w:bookmarkStart w:id="30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6"/>
    </w:p>
    <w:p>
      <w:pPr>
        <w:pStyle w:val="FirstParagraph"/>
      </w:pPr>
      <w:bookmarkStart w:id="29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7"/>
    </w:p>
    <w:p>
      <w:pPr>
        <w:pStyle w:val="FirstParagraph"/>
      </w:pPr>
      <w:bookmarkStart w:id="29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0"/>
    </w:p>
    <w:bookmarkEnd w:id="301"/>
    <w:bookmarkStart w:id="326"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5" w:name="fig:sar-orb-example-fig1a"/>
    <w:p>
      <w:pPr>
        <w:pStyle w:val="CaptionedFigure"/>
      </w:pPr>
      <w:r>
        <w:drawing>
          <wp:inline>
            <wp:extent cx="3810000" cy="2540000"/>
            <wp:effectExtent b="0" l="0" r="0" t="0"/>
            <wp:docPr descr="Figure 1: VV intensity; Processing: A. Rosenqvist (soloEO)" title="" id="303" name="Picture"/>
            <a:graphic>
              <a:graphicData uri="http://schemas.openxmlformats.org/drawingml/2006/picture">
                <pic:pic>
                  <pic:nvPicPr>
                    <pic:cNvPr descr="assets/sar-orb-examples/S1-ORB-VV.png" id="304" name="Picture"/>
                    <pic:cNvPicPr>
                      <a:picLocks noChangeArrowheads="1" noChangeAspect="1"/>
                    </pic:cNvPicPr>
                  </pic:nvPicPr>
                  <pic:blipFill>
                    <a:blip r:embed="rId30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5"/>
    <w:bookmarkStart w:id="309" w:name="fig:sar-orb-example-fig1b"/>
    <w:p>
      <w:pPr>
        <w:pStyle w:val="CaptionedFigure"/>
      </w:pPr>
      <w:r>
        <w:drawing>
          <wp:inline>
            <wp:extent cx="3810000" cy="2540000"/>
            <wp:effectExtent b="0" l="0" r="0" t="0"/>
            <wp:docPr descr="Figure 2: VH intensity; Processing: A. Rosenqvist (soloEO)" title="" id="307" name="Picture"/>
            <a:graphic>
              <a:graphicData uri="http://schemas.openxmlformats.org/drawingml/2006/picture">
                <pic:pic>
                  <pic:nvPicPr>
                    <pic:cNvPr descr="assets/sar-orb-examples/S1-ORB-VH.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9"/>
    <w:bookmarkStart w:id="313" w:name="fig:sar-orb-example-fig1c"/>
    <w:p>
      <w:pPr>
        <w:pStyle w:val="CaptionedFigure"/>
      </w:pPr>
      <w:r>
        <w:drawing>
          <wp:inline>
            <wp:extent cx="3810000" cy="2540000"/>
            <wp:effectExtent b="0" l="0" r="0" t="0"/>
            <wp:docPr descr="Figure 3: Data mask image; Processing: A. Rosenqvist (soloEO)" title="" id="311" name="Picture"/>
            <a:graphic>
              <a:graphicData uri="http://schemas.openxmlformats.org/drawingml/2006/picture">
                <pic:pic>
                  <pic:nvPicPr>
                    <pic:cNvPr descr="assets/sar-orb-examples/S1-ORB-data-mask.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3"/>
    <w:bookmarkStart w:id="317" w:name="fig:sar-orb-example-fig1d"/>
    <w:p>
      <w:pPr>
        <w:pStyle w:val="CaptionedFigure"/>
      </w:pPr>
      <w:r>
        <w:drawing>
          <wp:inline>
            <wp:extent cx="3810000" cy="2540000"/>
            <wp:effectExtent b="0" l="0" r="0" t="0"/>
            <wp:docPr descr="Figure 4: Local incident angle; Processing: A. Rosenqvist (soloEO)" title="" id="315" name="Picture"/>
            <a:graphic>
              <a:graphicData uri="http://schemas.openxmlformats.org/drawingml/2006/picture">
                <pic:pic>
                  <pic:nvPicPr>
                    <pic:cNvPr descr="assets/sar-orb-examples/S1-ORB-local-indicident-angle.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7"/>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21" w:name="fig:sar-orb-example-fig2a"/>
    <w:p>
      <w:pPr>
        <w:pStyle w:val="CaptionedFigure"/>
      </w:pPr>
      <w:r>
        <w:drawing>
          <wp:inline>
            <wp:extent cx="3810000" cy="2540000"/>
            <wp:effectExtent b="0" l="0" r="0" t="0"/>
            <wp:docPr descr="Figure 5: ORB intensity (Sigma-Nought); Processing: G. Hajduch (CLS)" title="" id="319" name="Picture"/>
            <a:graphic>
              <a:graphicData uri="http://schemas.openxmlformats.org/drawingml/2006/picture">
                <pic:pic>
                  <pic:nvPicPr>
                    <pic:cNvPr descr="assets/sar-orb-examples/S1-ORB-sigma-nought.png" id="320" name="Picture"/>
                    <pic:cNvPicPr>
                      <a:picLocks noChangeArrowheads="1" noChangeAspect="1"/>
                    </pic:cNvPicPr>
                  </pic:nvPicPr>
                  <pic:blipFill>
                    <a:blip r:embed="rId31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21"/>
    <w:bookmarkStart w:id="325"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3" name="Picture"/>
            <a:graphic>
              <a:graphicData uri="http://schemas.openxmlformats.org/drawingml/2006/picture">
                <pic:pic>
                  <pic:nvPicPr>
                    <pic:cNvPr descr="assets/sar-orb-examples/S1-ORB-intesity-compensated.png" id="324" name="Picture"/>
                    <pic:cNvPicPr>
                      <a:picLocks noChangeArrowheads="1" noChangeAspect="1"/>
                    </pic:cNvPicPr>
                  </pic:nvPicPr>
                  <pic:blipFill>
                    <a:blip r:embed="rId32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5"/>
    <w:bookmarkEnd w:id="326"/>
    <w:bookmarkEnd w:id="327"/>
    <w:bookmarkEnd w:id="328"/>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4">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6" Target="media/rId306.png" /><Relationship Type="http://schemas.openxmlformats.org/officeDocument/2006/relationships/image" Id="rId302" Target="media/rId302.png" /><Relationship Type="http://schemas.openxmlformats.org/officeDocument/2006/relationships/image" Id="rId310" Target="media/rId310.png" /><Relationship Type="http://schemas.openxmlformats.org/officeDocument/2006/relationships/image" Id="rId322" Target="media/rId322.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hyperlink" Id="rId23" Target="https://ceos.org/ard" TargetMode="External"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3" Target="https://doi.org/10.1029/97JC01911" TargetMode="External" /><Relationship Type="http://schemas.openxmlformats.org/officeDocument/2006/relationships/hyperlink" Id="rId269" Target="https://doi.org/10.1080/07038992.2000.10874781" TargetMode="External" /><Relationship Type="http://schemas.openxmlformats.org/officeDocument/2006/relationships/hyperlink" Id="rId275"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1"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3" Target="https://doi.org/10.1029/97JC01911" TargetMode="External" /><Relationship Type="http://schemas.openxmlformats.org/officeDocument/2006/relationships/hyperlink" Id="rId269" Target="https://doi.org/10.1080/07038992.2000.10874781" TargetMode="External" /><Relationship Type="http://schemas.openxmlformats.org/officeDocument/2006/relationships/hyperlink" Id="rId275"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1"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2026-04-23T19:03:17Z</dcterms:created>
  <dcterms:modified xsi:type="dcterms:W3CDTF">2026-04-23T19:03:17Z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