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78"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Normalised Radar Backscatter (NRB)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5.6.0-draft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p>
    <w:p>
      <w:pPr>
        <w:pStyle w:val="Textkrper"/>
      </w:pP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digital elevation model (DEM), for which the topographic phase contribution is removed.</w:t>
      </w:r>
    </w:p>
    <w:p>
      <w:pPr>
        <w:pStyle w:val="Textkrper"/>
      </w:pPr>
      <w:r>
        <w:t xml:space="preserve">The NRB specification accommodates basic mosaic products generated from more than one input data source, where each pixel value in the NRB product uniquely corresponds to the pixel value of one of its input data sources, indicated in the Acquisition ID per-pixel metadata.</w:t>
      </w:r>
      <w:r>
        <w:t xml:space="preserve"> </w:t>
      </w:r>
      <w:r>
        <w:t xml:space="preserve">For products where the pixel value is dependent on multiple input sources, see the Composite Backscatter (CB) PFS.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199" w:name="threshold-requirements-39"/>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(Gamma-Nought)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1"/>
        </w:numPr>
      </w:pPr>
      <w:r>
        <w:t xml:space="preserve">a citable peer-reviewed algorithm</w:t>
      </w:r>
    </w:p>
    <w:p>
      <w:pPr>
        <w:pStyle w:val="Compact"/>
        <w:numPr>
          <w:ilvl w:val="0"/>
          <w:numId w:val="1081"/>
        </w:numPr>
      </w:pPr>
      <w:r>
        <w:t xml:space="preserve">technical documentation regarding the algorithm used to generate the backscatter estimates is expressed as URLs or DOIs</w:t>
      </w:r>
    </w:p>
    <w:p>
      <w:pPr>
        <w:pStyle w:val="Compact"/>
        <w:numPr>
          <w:ilvl w:val="0"/>
          <w:numId w:val="1081"/>
        </w:numPr>
      </w:pPr>
      <w:r>
        <w:t xml:space="preserve">the sources of auxiliary data used to make corrections</w:t>
      </w:r>
    </w:p>
    <w:p>
      <w:pPr>
        <w:pStyle w:val="FirstParagraph"/>
      </w:pPr>
      <w:r>
        <w:t xml:space="preserve">Note:</w:t>
      </w:r>
    </w:p>
    <w:p>
      <w:pPr>
        <w:pStyle w:val="Compact"/>
        <w:numPr>
          <w:ilvl w:val="0"/>
          <w:numId w:val="1082"/>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5"/>
        </w:numPr>
      </w:pPr>
      <w:r>
        <w:t xml:space="preserve">Measurement Type (Flattened Phase)</w:t>
      </w:r>
    </w:p>
    <w:p>
      <w:pPr>
        <w:pStyle w:val="Compact"/>
        <w:numPr>
          <w:ilvl w:val="0"/>
          <w:numId w:val="1085"/>
        </w:numPr>
      </w:pPr>
      <w:r>
        <w:t xml:space="preserve">Reference Polarization (HH/HV/VV/VH)</w:t>
      </w:r>
    </w:p>
    <w:p>
      <w:pPr>
        <w:pStyle w:val="Compact"/>
        <w:numPr>
          <w:ilvl w:val="0"/>
          <w:numId w:val="1085"/>
        </w:numPr>
      </w:pPr>
      <w:r>
        <w:t xml:space="preserve">Data Format (GeoTIFF, HDF5, NetCDF, …)</w:t>
      </w:r>
    </w:p>
    <w:p>
      <w:pPr>
        <w:pStyle w:val="Compact"/>
        <w:numPr>
          <w:ilvl w:val="0"/>
          <w:numId w:val="1085"/>
        </w:numPr>
      </w:pPr>
      <w:r>
        <w:t xml:space="preserve">Data Type (Int, Float, …)</w:t>
      </w:r>
    </w:p>
    <w:p>
      <w:pPr>
        <w:pStyle w:val="Compact"/>
        <w:numPr>
          <w:ilvl w:val="0"/>
          <w:numId w:val="1085"/>
        </w:numPr>
      </w:pPr>
      <w:r>
        <w:t xml:space="preserve">Bits per Sample</w:t>
      </w:r>
    </w:p>
    <w:p>
      <w:pPr>
        <w:pStyle w:val="Compact"/>
        <w:numPr>
          <w:ilvl w:val="0"/>
          <w:numId w:val="1085"/>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7"/>
        </w:numPr>
      </w:pPr>
      <w:r>
        <w:t xml:space="preserve">A metadata citable peer-reviewed algorithm</w:t>
      </w:r>
    </w:p>
    <w:p>
      <w:pPr>
        <w:pStyle w:val="Compact"/>
        <w:numPr>
          <w:ilvl w:val="0"/>
          <w:numId w:val="1087"/>
        </w:numPr>
      </w:pPr>
      <w:r>
        <w:t xml:space="preserve">Technical documentation regarding the implementation of that algorithm expressed as URLs or DOIs</w:t>
      </w:r>
    </w:p>
    <w:p>
      <w:pPr>
        <w:pStyle w:val="Compact"/>
        <w:numPr>
          <w:ilvl w:val="0"/>
          <w:numId w:val="1087"/>
        </w:numPr>
      </w:pPr>
      <w:r>
        <w:t xml:space="preserve">The sources of auxiliary data used to make corrections</w:t>
      </w:r>
    </w:p>
    <w:p>
      <w:pPr>
        <w:pStyle w:val="Compact"/>
        <w:numPr>
          <w:ilvl w:val="0"/>
          <w:numId w:val="1087"/>
        </w:numPr>
      </w:pPr>
      <w:r>
        <w:t xml:space="preserve">Resampling method used for geometric processing of the source data</w:t>
      </w:r>
    </w:p>
    <w:p>
      <w:pPr>
        <w:pStyle w:val="FirstParagraph"/>
      </w:pPr>
      <w:r>
        <w:t xml:space="preserve">Note:</w:t>
      </w:r>
    </w:p>
    <w:p>
      <w:pPr>
        <w:pStyle w:val="Compact"/>
        <w:numPr>
          <w:ilvl w:val="0"/>
          <w:numId w:val="1088"/>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0"/>
        </w:numPr>
      </w:pPr>
      <w:r>
        <w:t xml:space="preserve">During ortho-rectification, the data provider shall use the same DEM that was used for the radiometric terrain flattening to ensure consistency of the data stack.</w:t>
      </w:r>
    </w:p>
    <w:p>
      <w:pPr>
        <w:pStyle w:val="Compact"/>
        <w:numPr>
          <w:ilvl w:val="0"/>
          <w:numId w:val="109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0"/>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1"/>
        </w:numPr>
      </w:pPr>
      <w:r>
        <w:t xml:space="preserve">A DEM with comparable or better resolution to the resolution of the output CEOS-ARD product shall be used if available. Else, the upsampled DEM is identified.</w:t>
      </w:r>
    </w:p>
    <w:p>
      <w:pPr>
        <w:pStyle w:val="Compact"/>
        <w:numPr>
          <w:ilvl w:val="0"/>
          <w:numId w:val="1091"/>
        </w:numPr>
      </w:pPr>
      <w:r>
        <w:t xml:space="preserve">Resampling method used for preparation of the DEM.</w:t>
      </w:r>
    </w:p>
    <w:p>
      <w:pPr>
        <w:pStyle w:val="Compact"/>
        <w:numPr>
          <w:ilvl w:val="0"/>
          <w:numId w:val="1091"/>
        </w:numPr>
      </w:pPr>
      <w:r>
        <w:t xml:space="preserve">Method used for resampling the EGM.</w:t>
      </w:r>
    </w:p>
    <w:bookmarkEnd w:id="229"/>
    <w:bookmarkStart w:id="230"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3"/>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6"/>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8"/>
        </w:numPr>
      </w:pPr>
      <w:r>
        <w:t xml:space="preserve">that product has been assessed as meeting CEOS-ARD requirements by the agency responsible for production and distribution of the product, and</w:t>
      </w:r>
    </w:p>
    <w:p>
      <w:pPr>
        <w:pStyle w:val="Compact"/>
        <w:numPr>
          <w:ilvl w:val="0"/>
          <w:numId w:val="109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74" w:name="references"/>
    <w:p>
      <w:pPr>
        <w:pStyle w:val="berschrift2"/>
      </w:pPr>
      <w:r>
        <w:t xml:space="preserve">References</w:t>
      </w:r>
    </w:p>
    <w:bookmarkStart w:id="273" w:name="refs"/>
    <w:bookmarkStart w:id="26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9">
        <w:r>
          <w:rPr>
            <w:rStyle w:val="Hyperlink"/>
          </w:rPr>
          <w:t xml:space="preserve">https://doi.org/10.5281/zenodo.17801666</w:t>
        </w:r>
      </w:hyperlink>
      <w:r>
        <w:t xml:space="preserve">.</w:t>
      </w:r>
    </w:p>
    <w:bookmarkEnd w:id="260"/>
    <w:bookmarkStart w:id="261"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1"/>
    <w:bookmarkStart w:id="262"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9">
        <w:r>
          <w:rPr>
            <w:rStyle w:val="Hyperlink"/>
          </w:rPr>
          <w:t xml:space="preserve">https://doi.org/10.1109/LGRS.2017.2753580</w:t>
        </w:r>
      </w:hyperlink>
      <w:r>
        <w:t xml:space="preserve">.</w:t>
      </w:r>
    </w:p>
    <w:bookmarkEnd w:id="270"/>
    <w:bookmarkStart w:id="27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1">
        <w:r>
          <w:rPr>
            <w:rStyle w:val="Hyperlink"/>
          </w:rPr>
          <w:t xml:space="preserve">https://doi.org/10.1109/TGRS.2010.2051333</w:t>
        </w:r>
      </w:hyperlink>
      <w:r>
        <w:t xml:space="preserve">.</w:t>
      </w:r>
    </w:p>
    <w:bookmarkEnd w:id="272"/>
    <w:bookmarkEnd w:id="273"/>
    <w:p>
      <w:r>
        <w:br w:type="page"/>
      </w:r>
    </w:p>
    <w:bookmarkEnd w:id="274"/>
    <w:bookmarkStart w:id="277" w:name="annex"/>
    <w:p>
      <w:pPr>
        <w:pStyle w:val="berschrift2"/>
      </w:pPr>
      <w:r>
        <w:t xml:space="preserve">Annex</w:t>
      </w:r>
    </w:p>
    <w:bookmarkStart w:id="276"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9"/>
        </w:numPr>
      </w:pPr>
      <w:r>
        <w:t xml:space="preserve">Apply instrument calibration to produce Beta-Nought values with high fidelity.</w:t>
      </w:r>
    </w:p>
    <w:p>
      <w:pPr>
        <w:pStyle w:val="Compact"/>
        <w:numPr>
          <w:ilvl w:val="0"/>
          <w:numId w:val="109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9"/>
        </w:numPr>
      </w:pPr>
      <w:r>
        <w:t xml:space="preserve">Generate CEOS format metadata to accompany product layers.</w:t>
      </w:r>
    </w:p>
    <w:p>
      <w:pPr>
        <w:pStyle w:val="Compact"/>
        <w:numPr>
          <w:ilvl w:val="0"/>
          <w:numId w:val="109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5"/>
    <w:bookmarkEnd w:id="276"/>
    <w:bookmarkEnd w:id="277"/>
    <w:bookmarkEnd w:id="27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5.6.0-draft</dc:title>
  <dc:creator/>
  <dc:language>en</dc:language>
  <cp:keywords/>
  <dcterms:created xsi:type="dcterms:W3CDTF">2026-08-18T14:03:42Z</dcterms:created>
  <dcterms:modified xsi:type="dcterms:W3CDTF">2026-08-18T14:03:42Z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