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0" w:name="ceos-ard---optical---surface-reflectance"/>
    <w:p>
      <w:pPr>
        <w:pStyle w:val="berschrift1"/>
      </w:pPr>
      <w:r>
        <w:t xml:space="preserve">CEOS-ARD - Optical - Surface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5.0.2-draft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34"/>
    <w:bookmarkStart w:id="35"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5"/>
    <w:bookmarkStart w:id="18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6" w:name="threshold-requirements"/>
    <w:p>
      <w:pPr>
        <w:pStyle w:val="berschrift5"/>
      </w:pPr>
      <w:r>
        <w:t xml:space="preserve">Threshold requirements:</w:t>
      </w:r>
    </w:p>
    <w:p>
      <w:pPr>
        <w:pStyle w:val="FirstParagraph"/>
      </w:pPr>
      <w:r>
        <w:t xml:space="preserve">Not required.</w:t>
      </w:r>
      <w:r>
        <w:t xml:space="preserve"> </w:t>
      </w:r>
    </w:p>
    <w:bookmarkEnd w:id="36"/>
    <w:bookmarkStart w:id="37"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ac-muncer-sr">
        <w:r>
          <w:rPr>
            <w:rStyle w:val="Hyperlink"/>
          </w:rPr>
          <w:t xml:space="preserve">Radiometric and Atmospheric Corrections: Measurement Uncertainty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7"/>
    <w:bookmarkStart w:id="38"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0"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0"/>
    <w:bookmarkStart w:id="41"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1"/>
    <w:bookmarkStart w:id="42"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4"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4"/>
    <w:bookmarkStart w:id="45"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5"/>
    <w:bookmarkStart w:id="46"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8"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8"/>
    <w:bookmarkStart w:id="49"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9"/>
    <w:bookmarkStart w:id="50"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0"/>
    <w:bookmarkEnd w:id="51"/>
    <w:bookmarkStart w:id="55"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2" w:name="threshold-requirements-4"/>
    <w:p>
      <w:pPr>
        <w:pStyle w:val="berschrift5"/>
      </w:pPr>
      <w:r>
        <w:t xml:space="preserve">Threshold requirements:</w:t>
      </w:r>
    </w:p>
    <w:p>
      <w:pPr>
        <w:pStyle w:val="FirstParagraph"/>
      </w:pPr>
      <w:r>
        <w:t xml:space="preserve">The metadata lists the coordinate reference system that has been used.</w:t>
      </w:r>
    </w:p>
    <w:bookmarkEnd w:id="52"/>
    <w:bookmarkStart w:id="53" w:name="goal-requirements-4"/>
    <w:p>
      <w:pPr>
        <w:pStyle w:val="berschrift5"/>
      </w:pPr>
      <w:r>
        <w:t xml:space="preserve">Goal requirements:</w:t>
      </w:r>
    </w:p>
    <w:p>
      <w:pPr>
        <w:pStyle w:val="FirstParagraph"/>
      </w:pPr>
      <w:r>
        <w:t xml:space="preserve">As threshold.</w:t>
      </w:r>
      <w:r>
        <w:t xml:space="preserve"> </w:t>
      </w:r>
    </w:p>
    <w:bookmarkEnd w:id="53"/>
    <w:bookmarkStart w:id="54"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6"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3"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0" w:name="threshold-requirements-6"/>
    <w:p>
      <w:pPr>
        <w:pStyle w:val="berschrift5"/>
      </w:pPr>
      <w:r>
        <w:t xml:space="preserve">Threshold requirements:</w:t>
      </w:r>
    </w:p>
    <w:p>
      <w:pPr>
        <w:pStyle w:val="FirstParagraph"/>
      </w:pPr>
      <w:r>
        <w:t xml:space="preserve">Not required.</w:t>
      </w:r>
      <w:r>
        <w:t xml:space="preserve"> </w:t>
      </w:r>
    </w:p>
    <w:bookmarkEnd w:id="60"/>
    <w:bookmarkStart w:id="61"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1"/>
    <w:bookmarkStart w:id="62"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8" w:name="threshold-requirements-8"/>
    <w:p>
      <w:pPr>
        <w:pStyle w:val="berschrift5"/>
      </w:pPr>
      <w:r>
        <w:t xml:space="preserve">Threshold requirements:</w:t>
      </w:r>
    </w:p>
    <w:p>
      <w:pPr>
        <w:pStyle w:val="FirstParagraph"/>
      </w:pPr>
      <w:r>
        <w:t xml:space="preserve">The instrument used to collect the data is identified in the metadata.</w:t>
      </w:r>
    </w:p>
    <w:bookmarkEnd w:id="68"/>
    <w:bookmarkStart w:id="69"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2"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2"/>
    <w:bookmarkStart w:id="73"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79"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6" w:name="threshold-requirements-10"/>
    <w:p>
      <w:pPr>
        <w:pStyle w:val="berschrift5"/>
      </w:pPr>
      <w:r>
        <w:t xml:space="preserve">Threshold requirements:</w:t>
      </w:r>
    </w:p>
    <w:p>
      <w:pPr>
        <w:pStyle w:val="FirstParagraph"/>
      </w:pPr>
      <w:r>
        <w:t xml:space="preserve">Not required.</w:t>
      </w:r>
      <w:r>
        <w:t xml:space="preserve"> </w:t>
      </w:r>
    </w:p>
    <w:bookmarkEnd w:id="76"/>
    <w:bookmarkStart w:id="77"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7"/>
    <w:bookmarkStart w:id="78"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8"/>
    <w:bookmarkEnd w:id="79"/>
    <w:bookmarkStart w:id="83"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0" w:name="threshold-requirements-11"/>
    <w:p>
      <w:pPr>
        <w:pStyle w:val="berschrift5"/>
      </w:pPr>
      <w:r>
        <w:t xml:space="preserve">Threshold requirements:</w:t>
      </w:r>
    </w:p>
    <w:p>
      <w:pPr>
        <w:pStyle w:val="FirstParagraph"/>
      </w:pPr>
      <w:r>
        <w:t xml:space="preserve">Not required.</w:t>
      </w:r>
      <w:r>
        <w:t xml:space="preserve"> </w:t>
      </w:r>
    </w:p>
    <w:bookmarkEnd w:id="80"/>
    <w:bookmarkStart w:id="81"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1"/>
    <w:bookmarkStart w:id="82"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4"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4"/>
    <w:bookmarkStart w:id="85"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8"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8"/>
    <w:bookmarkStart w:id="89"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9"/>
    <w:bookmarkStart w:id="90"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0"/>
    <w:bookmarkEnd w:id="91"/>
    <w:bookmarkStart w:id="95"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92" w:name="threshold-requirements-14"/>
    <w:p>
      <w:pPr>
        <w:pStyle w:val="berschrift5"/>
      </w:pPr>
      <w:r>
        <w:t xml:space="preserve">Threshold requirements:</w:t>
      </w:r>
    </w:p>
    <w:p>
      <w:pPr>
        <w:pStyle w:val="FirstParagraph"/>
      </w:pPr>
      <w:r>
        <w:t xml:space="preserve">Not required.</w:t>
      </w:r>
      <w:r>
        <w:t xml:space="preserve"> </w:t>
      </w:r>
    </w:p>
    <w:bookmarkEnd w:id="92"/>
    <w:bookmarkStart w:id="93"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93"/>
    <w:bookmarkStart w:id="94"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4"/>
    <w:bookmarkEnd w:id="95"/>
    <w:bookmarkStart w:id="99"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6"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6"/>
    <w:bookmarkStart w:id="97" w:name="goal-requirements-15"/>
    <w:p>
      <w:pPr>
        <w:pStyle w:val="berschrift5"/>
      </w:pPr>
      <w:r>
        <w:t xml:space="preserve">Goal requirements:</w:t>
      </w:r>
    </w:p>
    <w:p>
      <w:pPr>
        <w:pStyle w:val="FirstParagraph"/>
      </w:pPr>
      <w:r>
        <w:t xml:space="preserve">As threshold.</w:t>
      </w:r>
      <w:r>
        <w:t xml:space="preserve"> </w:t>
      </w:r>
    </w:p>
    <w:bookmarkEnd w:id="97"/>
    <w:bookmarkStart w:id="98"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1"/>
    <w:bookmarkStart w:id="102"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2"/>
    <w:bookmarkEnd w:id="103"/>
    <w:bookmarkEnd w:id="104"/>
    <w:bookmarkStart w:id="153"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8"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5"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7"/>
    <w:bookmarkEnd w:id="108"/>
    <w:bookmarkStart w:id="112"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9"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1"/>
    <w:bookmarkEnd w:id="112"/>
    <w:bookmarkStart w:id="116"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3"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3"/>
    <w:bookmarkStart w:id="114"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4"/>
    <w:bookmarkStart w:id="115"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5"/>
    <w:bookmarkEnd w:id="116"/>
    <w:bookmarkStart w:id="120"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7"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7"/>
    <w:bookmarkStart w:id="118" w:name="goal-requirements-20"/>
    <w:p>
      <w:pPr>
        <w:pStyle w:val="berschrift5"/>
      </w:pPr>
      <w:r>
        <w:t xml:space="preserve">Goal requirements:</w:t>
      </w:r>
    </w:p>
    <w:p>
      <w:pPr>
        <w:pStyle w:val="FirstParagraph"/>
      </w:pPr>
      <w:r>
        <w:t xml:space="preserve">Metadata indicates which pixels are saturated for each spectral band.</w:t>
      </w:r>
    </w:p>
    <w:bookmarkEnd w:id="118"/>
    <w:bookmarkStart w:id="119"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1" w:name="threshold-requirements-21"/>
    <w:p>
      <w:pPr>
        <w:pStyle w:val="berschrift5"/>
      </w:pPr>
      <w:r>
        <w:t xml:space="preserve">Threshold requirements:</w:t>
      </w:r>
    </w:p>
    <w:p>
      <w:pPr>
        <w:pStyle w:val="FirstParagraph"/>
      </w:pPr>
      <w:r>
        <w:t xml:space="preserve">Metadata indicates whether a pixel is assessed as being cloud.</w:t>
      </w:r>
    </w:p>
    <w:bookmarkEnd w:id="121"/>
    <w:bookmarkStart w:id="122"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2"/>
    <w:bookmarkStart w:id="123"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3"/>
    <w:bookmarkEnd w:id="124"/>
    <w:bookmarkStart w:id="128"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5" w:name="threshold-requirements-22"/>
    <w:p>
      <w:pPr>
        <w:pStyle w:val="berschrift5"/>
      </w:pPr>
      <w:r>
        <w:t xml:space="preserve">Threshold requirements:</w:t>
      </w:r>
    </w:p>
    <w:p>
      <w:pPr>
        <w:pStyle w:val="FirstParagraph"/>
      </w:pPr>
      <w:r>
        <w:t xml:space="preserve">Metadata indicates whether a pixel is assessed as being cloud shadow.</w:t>
      </w:r>
    </w:p>
    <w:bookmarkEnd w:id="125"/>
    <w:bookmarkStart w:id="126"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9" w:name="threshold-requirements-23"/>
    <w:p>
      <w:pPr>
        <w:pStyle w:val="berschrift5"/>
      </w:pPr>
      <w:r>
        <w:t xml:space="preserve">Threshold requirements:</w:t>
      </w:r>
    </w:p>
    <w:p>
      <w:pPr>
        <w:pStyle w:val="FirstParagraph"/>
      </w:pPr>
      <w:r>
        <w:t xml:space="preserve">Not required.</w:t>
      </w:r>
      <w:r>
        <w:t xml:space="preserve"> </w:t>
      </w:r>
    </w:p>
    <w:bookmarkEnd w:id="129"/>
    <w:bookmarkStart w:id="130"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30"/>
    <w:bookmarkStart w:id="131"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3" w:name="threshold-requirements-24"/>
    <w:p>
      <w:pPr>
        <w:pStyle w:val="berschrift5"/>
      </w:pPr>
      <w:r>
        <w:t xml:space="preserve">Threshold requirements:</w:t>
      </w:r>
    </w:p>
    <w:p>
      <w:pPr>
        <w:pStyle w:val="FirstParagraph"/>
      </w:pPr>
      <w:r>
        <w:t xml:space="preserve">Not required.</w:t>
      </w:r>
      <w:r>
        <w:t xml:space="preserve"> </w:t>
      </w:r>
    </w:p>
    <w:bookmarkEnd w:id="133"/>
    <w:bookmarkStart w:id="134"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4"/>
    <w:bookmarkStart w:id="135"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7" w:name="threshold-requirements-25"/>
    <w:p>
      <w:pPr>
        <w:pStyle w:val="berschrift5"/>
      </w:pPr>
      <w:r>
        <w:t xml:space="preserve">Threshold requirements:</w:t>
      </w:r>
    </w:p>
    <w:p>
      <w:pPr>
        <w:pStyle w:val="FirstParagraph"/>
      </w:pPr>
      <w:r>
        <w:t xml:space="preserve">Not required.</w:t>
      </w:r>
      <w:r>
        <w:t xml:space="preserve"> </w:t>
      </w:r>
    </w:p>
    <w:bookmarkEnd w:id="137"/>
    <w:bookmarkStart w:id="138"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8"/>
    <w:bookmarkStart w:id="139"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1" w:name="threshold-requirements-26"/>
    <w:p>
      <w:pPr>
        <w:pStyle w:val="berschrift5"/>
      </w:pPr>
      <w:r>
        <w:t xml:space="preserve">Threshold requirements:</w:t>
      </w:r>
    </w:p>
    <w:p>
      <w:pPr>
        <w:pStyle w:val="FirstParagraph"/>
      </w:pPr>
      <w:r>
        <w:t xml:space="preserve">Not required.</w:t>
      </w:r>
      <w:r>
        <w:t xml:space="preserve"> </w:t>
      </w:r>
    </w:p>
    <w:bookmarkEnd w:id="141"/>
    <w:bookmarkStart w:id="142"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2"/>
    <w:bookmarkStart w:id="143"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3"/>
    <w:bookmarkEnd w:id="144"/>
    <w:bookmarkStart w:id="148"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5" w:name="threshold-requirements-27"/>
    <w:p>
      <w:pPr>
        <w:pStyle w:val="berschrift5"/>
      </w:pPr>
      <w:r>
        <w:t xml:space="preserve">Threshold requirements:</w:t>
      </w:r>
    </w:p>
    <w:p>
      <w:pPr>
        <w:pStyle w:val="FirstParagraph"/>
      </w:pPr>
      <w:r>
        <w:t xml:space="preserve">Provide average solar and sensor viewing azimuth and zenith angles.</w:t>
      </w:r>
    </w:p>
    <w:bookmarkEnd w:id="145"/>
    <w:bookmarkStart w:id="146" w:name="goal-requirements-27"/>
    <w:p>
      <w:pPr>
        <w:pStyle w:val="berschrift5"/>
      </w:pPr>
      <w:r>
        <w:t xml:space="preserve">Goal requirements:</w:t>
      </w:r>
    </w:p>
    <w:p>
      <w:pPr>
        <w:pStyle w:val="FirstParagraph"/>
      </w:pPr>
      <w:r>
        <w:t xml:space="preserve">Provide per-pixel solar and sensor viewing azimuth and zenith angles.</w:t>
      </w:r>
    </w:p>
    <w:bookmarkEnd w:id="146"/>
    <w:bookmarkStart w:id="147"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9" w:name="threshold-requirements-28"/>
    <w:p>
      <w:pPr>
        <w:pStyle w:val="berschrift5"/>
      </w:pPr>
      <w:r>
        <w:t xml:space="preserve">Threshold requirements:</w:t>
      </w:r>
    </w:p>
    <w:p>
      <w:pPr>
        <w:pStyle w:val="FirstParagraph"/>
      </w:pPr>
      <w:r>
        <w:t xml:space="preserve">Not required.</w:t>
      </w:r>
      <w:r>
        <w:t xml:space="preserve"> </w:t>
      </w:r>
    </w:p>
    <w:bookmarkEnd w:id="149"/>
    <w:bookmarkStart w:id="150"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0"/>
    <w:bookmarkStart w:id="151"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51"/>
    <w:bookmarkEnd w:id="152"/>
    <w:bookmarkEnd w:id="153"/>
    <w:bookmarkStart w:id="17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7"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54"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54"/>
    <w:bookmarkStart w:id="155" w:name="goal-requirements-29"/>
    <w:p>
      <w:pPr>
        <w:pStyle w:val="berschrift5"/>
      </w:pPr>
      <w:r>
        <w:t xml:space="preserve">Goal requirements:</w:t>
      </w:r>
    </w:p>
    <w:p>
      <w:pPr>
        <w:pStyle w:val="FirstParagraph"/>
      </w:pPr>
      <w:r>
        <w:t xml:space="preserve">Surface Reflectance measurements are SI traceable (see also</w:t>
      </w:r>
      <w:r>
        <w:t xml:space="preserve"> </w:t>
      </w:r>
      <w:hyperlink w:anchor="sec:meta-trace-sr">
        <w:r>
          <w:rPr>
            <w:rStyle w:val="Hyperlink"/>
          </w:rPr>
          <w:t xml:space="preserve">General Metadata: Traceability</w:t>
        </w:r>
      </w:hyperlink>
      <w:r>
        <w:t xml:space="preserve">).</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w:t>
      </w:r>
      <w:r>
        <w:t xml:space="preserve"> </w:t>
      </w:r>
      <w:hyperlink w:anchor="sec:meta-trace-sr">
        <w:r>
          <w:rPr>
            <w:rStyle w:val="Hyperlink"/>
          </w:rPr>
          <w:t xml:space="preserve">General Metadata: Traceability</w:t>
        </w:r>
      </w:hyperlink>
      <w:r>
        <w:t xml:space="preserve">.</w:t>
      </w:r>
    </w:p>
    <w:p>
      <w:pPr>
        <w:pStyle w:val="Compact"/>
        <w:numPr>
          <w:ilvl w:val="0"/>
          <w:numId w:val="1045"/>
        </w:numPr>
      </w:pPr>
      <w:r>
        <w:t xml:space="preserve">Information on measurement uncertainty should be available in the metadata as a single DOI landing page.</w:t>
      </w:r>
    </w:p>
    <w:bookmarkEnd w:id="159"/>
    <w:bookmarkStart w:id="160"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0"/>
    <w:bookmarkEnd w:id="161"/>
    <w:bookmarkStart w:id="165"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62" w:name="threshold-requirements-31"/>
    <w:p>
      <w:pPr>
        <w:pStyle w:val="berschrift5"/>
      </w:pPr>
      <w:r>
        <w:t xml:space="preserve">Threshold requirements:</w:t>
      </w:r>
    </w:p>
    <w:p>
      <w:pPr>
        <w:pStyle w:val="FirstParagraph"/>
      </w:pPr>
      <w:r>
        <w:t xml:space="preserve">Not required.</w:t>
      </w:r>
      <w:r>
        <w:t xml:space="preserve"> </w:t>
      </w:r>
    </w:p>
    <w:bookmarkEnd w:id="162"/>
    <w:bookmarkStart w:id="163"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63"/>
    <w:bookmarkStart w:id="164"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6"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6"/>
    <w:bookmarkStart w:id="167" w:name="goal-requirements-32"/>
    <w:p>
      <w:pPr>
        <w:pStyle w:val="berschrift5"/>
      </w:pPr>
      <w:r>
        <w:t xml:space="preserve">Goal requirements:</w:t>
      </w:r>
    </w:p>
    <w:p>
      <w:pPr>
        <w:pStyle w:val="FirstParagraph"/>
      </w:pPr>
      <w:r>
        <w:t xml:space="preserve">As threshold.</w:t>
      </w:r>
      <w:r>
        <w:t xml:space="preserve"> </w:t>
      </w:r>
    </w:p>
    <w:bookmarkEnd w:id="167"/>
    <w:bookmarkStart w:id="168"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8"/>
    <w:bookmarkEnd w:id="169"/>
    <w:bookmarkStart w:id="173"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70"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0"/>
    <w:bookmarkStart w:id="171" w:name="goal-requirements-33"/>
    <w:p>
      <w:pPr>
        <w:pStyle w:val="berschrift5"/>
      </w:pPr>
      <w:r>
        <w:t xml:space="preserve">Goal requirements:</w:t>
      </w:r>
    </w:p>
    <w:p>
      <w:pPr>
        <w:pStyle w:val="FirstParagraph"/>
      </w:pPr>
      <w:r>
        <w:t xml:space="preserve">As threshold.</w:t>
      </w:r>
      <w:r>
        <w:t xml:space="preserve"> </w:t>
      </w:r>
    </w:p>
    <w:bookmarkEnd w:id="171"/>
    <w:bookmarkStart w:id="172"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2"/>
    <w:bookmarkEnd w:id="173"/>
    <w:bookmarkStart w:id="177"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74" w:name="threshold-requirements-34"/>
    <w:p>
      <w:pPr>
        <w:pStyle w:val="berschrift5"/>
      </w:pPr>
      <w:r>
        <w:t xml:space="preserve">Threshold requirements:</w:t>
      </w:r>
    </w:p>
    <w:p>
      <w:pPr>
        <w:pStyle w:val="FirstParagraph"/>
      </w:pPr>
      <w:r>
        <w:t xml:space="preserve">Not required.</w:t>
      </w:r>
      <w:r>
        <w:t xml:space="preserve"> </w:t>
      </w:r>
    </w:p>
    <w:bookmarkEnd w:id="174"/>
    <w:bookmarkStart w:id="175"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5"/>
    <w:bookmarkStart w:id="176"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6"/>
    <w:bookmarkEnd w:id="177"/>
    <w:bookmarkEnd w:id="178"/>
    <w:bookmarkStart w:id="183"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2"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9"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9"/>
    <w:bookmarkStart w:id="180"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80"/>
    <w:bookmarkStart w:id="181"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81"/>
    <w:bookmarkEnd w:id="182"/>
    <w:bookmarkEnd w:id="183"/>
    <w:bookmarkEnd w:id="184"/>
    <w:bookmarkStart w:id="189" w:name="summary-self-assessment-table"/>
    <w:p>
      <w:pPr>
        <w:pStyle w:val="berschrift2"/>
      </w:pPr>
      <w:r>
        <w:t xml:space="preserve">Summary Self-Assessment Table</w:t>
      </w:r>
    </w:p>
    <w:bookmarkStart w:id="18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5"/>
    <w:bookmarkStart w:id="18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6"/>
    <w:bookmarkStart w:id="18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7"/>
    <w:bookmarkStart w:id="18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8"/>
    <w:bookmarkEnd w:id="189"/>
    <w:bookmarkStart w:id="19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0"/>
    <w:bookmarkStart w:id="19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2"/>
    <w:bookmarkStart w:id="19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93"/>
    <w:bookmarkEnd w:id="194"/>
    <w:bookmarkStart w:id="199" w:name="references"/>
    <w:p>
      <w:pPr>
        <w:pStyle w:val="berschrift2"/>
      </w:pPr>
      <w:r>
        <w:t xml:space="preserve">References</w:t>
      </w:r>
    </w:p>
    <w:bookmarkStart w:id="198" w:name="refs"/>
    <w:bookmarkStart w:id="19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95"/>
    <w:bookmarkStart w:id="197" w:name="ref-li2012"/>
    <w:p>
      <w:pPr>
        <w:pStyle w:val="Literaturverzeichnis"/>
      </w:pPr>
      <w:r>
        <w:t xml:space="preserve">Li, Fuqin, David L. B. Jupp, Medhavy Thankappan, et al.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6">
        <w:r>
          <w:rPr>
            <w:rStyle w:val="Hyperlink"/>
          </w:rPr>
          <w:t xml:space="preserve">https://doi.org/10.1016/j.rse.2012.06.018</w:t>
        </w:r>
      </w:hyperlink>
      <w:r>
        <w:t xml:space="preserve">.</w:t>
      </w:r>
    </w:p>
    <w:bookmarkEnd w:id="197"/>
    <w:bookmarkEnd w:id="198"/>
    <w:bookmarkEnd w:id="199"/>
    <w:bookmarkEnd w:id="200"/>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5.0.2-draft</dc:title>
  <dc:creator/>
  <dc:language>en</dc:language>
  <cp:keywords/>
  <dcterms:created xsi:type="dcterms:W3CDTF">2026-08-18T14:03:46Z</dcterms:created>
  <dcterms:modified xsi:type="dcterms:W3CDTF">2026-08-18T14:03:46Z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