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19.jpg" ContentType="image/jpeg"/>
  <Override PartName="/word/media/rId3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29"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29"/>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4"/>
    <w:bookmarkEnd w:id="35"/>
    <w:bookmarkStart w:id="39"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5"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4"/>
    <w:bookmarkEnd w:id="65"/>
    <w:bookmarkStart w:id="69"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8"/>
    <w:bookmarkEnd w:id="69"/>
    <w:bookmarkStart w:id="73"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2"/>
    <w:bookmarkEnd w:id="73"/>
    <w:bookmarkStart w:id="78"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4"/>
      </w:r>
    </w:p>
    <w:p>
      <w:pPr>
        <w:pStyle w:val="Compact"/>
        <w:numPr>
          <w:ilvl w:val="0"/>
          <w:numId w:val="1015"/>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6"/>
    <w:bookmarkStart w:id="77"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7"/>
    <w:bookmarkEnd w:id="78"/>
    <w:bookmarkStart w:id="82"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1"/>
    <w:bookmarkEnd w:id="82"/>
    <w:bookmarkStart w:id="86"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5"/>
    <w:bookmarkEnd w:id="86"/>
    <w:bookmarkStart w:id="90"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3"/>
    <w:bookmarkEnd w:id="94"/>
    <w:bookmarkStart w:id="98"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7"/>
    <w:bookmarkEnd w:id="98"/>
    <w:bookmarkStart w:id="102"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1"/>
    <w:bookmarkEnd w:id="102"/>
    <w:bookmarkStart w:id="106"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10"/>
    <w:bookmarkEnd w:id="111"/>
    <w:bookmarkStart w:id="115"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5"/>
    <w:bookmarkStart w:id="126"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6"/>
    <w:bookmarkEnd w:id="127"/>
    <w:bookmarkStart w:id="131" w:name="sec:prd.metadata-speckle-filtering-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prd.metadata-speckle-filtering-pol</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p>
      <w:pPr>
        <w:pStyle w:val="FirstParagraph"/>
      </w:pPr>
      <w:r>
        <w:t xml:space="preserve">Advanced polarimetric filter preserving covariance matrix properties should be applied.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2"/>
    <w:bookmarkEnd w:id="143"/>
    <w:bookmarkStart w:id="147"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6"/>
    <w:bookmarkEnd w:id="147"/>
    <w:bookmarkStart w:id="151"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0"/>
    <w:bookmarkEnd w:id="151"/>
    <w:bookmarkStart w:id="155"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3"/>
    <w:bookmarkEnd w:id="164"/>
    <w:bookmarkStart w:id="168"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7"/>
    <w:bookmarkEnd w:id="168"/>
    <w:bookmarkStart w:id="172"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70"/>
    <w:bookmarkStart w:id="171"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1"/>
    <w:bookmarkEnd w:id="172"/>
    <w:bookmarkStart w:id="176"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5"/>
    <w:bookmarkEnd w:id="176"/>
    <w:bookmarkStart w:id="180"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9"/>
    <w:bookmarkEnd w:id="180"/>
    <w:bookmarkStart w:id="184"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2"/>
    <w:bookmarkStart w:id="183"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3"/>
    <w:bookmarkEnd w:id="184"/>
    <w:bookmarkStart w:id="188"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6"/>
    <w:bookmarkStart w:id="187"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7"/>
    <w:bookmarkEnd w:id="188"/>
    <w:bookmarkStart w:id="192"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1"/>
    <w:bookmarkEnd w:id="192"/>
    <w:bookmarkStart w:id="196"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4"/>
    <w:bookmarkStart w:id="195"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0"/>
    <w:bookmarkEnd w:id="201"/>
    <w:bookmarkStart w:id="205" w:name="sec:rcm.measurements-backscatter-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rcm.measurements-backscatter-pol</w:t>
      </w:r>
    </w:p>
    <w:bookmarkStart w:id="202"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0"/>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0"/>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1"/>
        </w:numPr>
      </w:pPr>
      <w:r>
        <w:t xml:space="preserve">Measurement Type (CovMat, PRD)</w:t>
      </w:r>
    </w:p>
    <w:p>
      <w:pPr>
        <w:pStyle w:val="Compact"/>
        <w:numPr>
          <w:ilvl w:val="0"/>
          <w:numId w:val="1071"/>
        </w:numPr>
      </w:pPr>
      <w:r>
        <w:t xml:space="preserve">Measurement convention unit (linear amplitude, linear power, angle)</w:t>
      </w:r>
    </w:p>
    <w:p>
      <w:pPr>
        <w:pStyle w:val="Compact"/>
        <w:numPr>
          <w:ilvl w:val="0"/>
          <w:numId w:val="1071"/>
        </w:numPr>
      </w:pPr>
      <w:r>
        <w:t xml:space="preserve">Individual covariance matrix element or/and Individual component of the decomposition (C3m11, C3m12, … or H, A, alpha, or …)</w:t>
      </w:r>
    </w:p>
    <w:p>
      <w:pPr>
        <w:pStyle w:val="Compact"/>
        <w:numPr>
          <w:ilvl w:val="0"/>
          <w:numId w:val="1071"/>
        </w:numPr>
      </w:pPr>
      <w:r>
        <w:t xml:space="preserve">Data Format (GeoTIFF, HDF5, NetCDF, …)</w:t>
      </w:r>
    </w:p>
    <w:p>
      <w:pPr>
        <w:pStyle w:val="Compact"/>
        <w:numPr>
          <w:ilvl w:val="0"/>
          <w:numId w:val="1071"/>
        </w:numPr>
      </w:pPr>
      <w:r>
        <w:t xml:space="preserve">Data Type (Int, Float, Complex,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It is recommended to keep CovMat or PRD measurement files separated.</w:t>
      </w:r>
      <w:r>
        <w:t xml:space="preserve"> </w:t>
      </w:r>
      <w:r>
        <w:t xml:space="preserve">Otherwise, specify the multi-channel format order (BIP, BIL, BSQ).</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Xb88bc7c96e2b484b86bc3560a2c054b7bf2b073"/>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measurements-flattened-phase"/>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88" w:name="references"/>
    <w:p>
      <w:pPr>
        <w:pStyle w:val="berschrift2"/>
      </w:pPr>
      <w:r>
        <w:t xml:space="preserve">References</w:t>
      </w:r>
    </w:p>
    <w:bookmarkStart w:id="287" w:name="refs"/>
    <w:bookmarkStart w:id="262"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1">
        <w:r>
          <w:rPr>
            <w:rStyle w:val="Hyperlink"/>
          </w:rPr>
          <w:t xml:space="preserve">https://doi.org/10.1109/36.499784</w:t>
        </w:r>
      </w:hyperlink>
      <w:r>
        <w:t xml:space="preserve">.</w:t>
      </w:r>
    </w:p>
    <w:bookmarkEnd w:id="262"/>
    <w:bookmarkStart w:id="264"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3">
        <w:r>
          <w:rPr>
            <w:rStyle w:val="Hyperlink"/>
          </w:rPr>
          <w:t xml:space="preserve">https://doi.org/10.1109/36.485127</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9"/>
    <w:bookmarkStart w:id="270"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0"/>
    <w:bookmarkStart w:id="27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1">
        <w:r>
          <w:rPr>
            <w:rStyle w:val="Hyperlink"/>
          </w:rPr>
          <w:t xml:space="preserve">https://doi.org/10.1109/TGRS.2008.2002881</w:t>
        </w:r>
      </w:hyperlink>
      <w:r>
        <w:t xml:space="preserve">.</w:t>
      </w:r>
    </w:p>
    <w:bookmarkEnd w:id="272"/>
    <w:bookmarkStart w:id="27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3">
        <w:r>
          <w:rPr>
            <w:rStyle w:val="Hyperlink"/>
          </w:rPr>
          <w:t xml:space="preserve">https://doi.org/10.1029/2011JE003986</w:t>
        </w:r>
      </w:hyperlink>
      <w:r>
        <w:t xml:space="preserve">.</w:t>
      </w:r>
    </w:p>
    <w:bookmarkEnd w:id="274"/>
    <w:bookmarkStart w:id="27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5">
        <w:r>
          <w:rPr>
            <w:rStyle w:val="Hyperlink"/>
          </w:rPr>
          <w:t xml:space="preserve">https://doi.org/10.1109/TGRS.2022.3147472</w:t>
        </w:r>
      </w:hyperlink>
      <w:r>
        <w:t xml:space="preserve">.</w:t>
      </w:r>
    </w:p>
    <w:bookmarkEnd w:id="276"/>
    <w:bookmarkStart w:id="27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7">
        <w:r>
          <w:rPr>
            <w:rStyle w:val="Hyperlink"/>
          </w:rPr>
          <w:t xml:space="preserve">https://doi.org/10.1109/TGRS.2011.2120616</w:t>
        </w:r>
      </w:hyperlink>
      <w:r>
        <w:t xml:space="preserve">.</w:t>
      </w:r>
    </w:p>
    <w:bookmarkEnd w:id="278"/>
    <w:bookmarkStart w:id="280"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79">
        <w:r>
          <w:rPr>
            <w:rStyle w:val="Hyperlink"/>
          </w:rPr>
          <w:t xml:space="preserve">https://doi.org/10.1109/TGRS.2012.2233206</w:t>
        </w:r>
      </w:hyperlink>
      <w:r>
        <w:t xml:space="preserve">.</w:t>
      </w:r>
    </w:p>
    <w:bookmarkEnd w:id="280"/>
    <w:bookmarkStart w:id="28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1">
        <w:r>
          <w:rPr>
            <w:rStyle w:val="Hyperlink"/>
          </w:rPr>
          <w:t xml:space="preserve">https://doi.org/10.1109/TGRS.2010.2099124</w:t>
        </w:r>
      </w:hyperlink>
      <w:r>
        <w:t xml:space="preserve">.</w:t>
      </w:r>
    </w:p>
    <w:bookmarkEnd w:id="282"/>
    <w:bookmarkStart w:id="28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3">
        <w:r>
          <w:rPr>
            <w:rStyle w:val="Hyperlink"/>
          </w:rPr>
          <w:t xml:space="preserve">https://doi.org/10.1109/LGRS.2017.2753580</w:t>
        </w:r>
      </w:hyperlink>
      <w:r>
        <w:t xml:space="preserve">.</w:t>
      </w:r>
    </w:p>
    <w:bookmarkEnd w:id="284"/>
    <w:bookmarkStart w:id="28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5">
        <w:r>
          <w:rPr>
            <w:rStyle w:val="Hyperlink"/>
          </w:rPr>
          <w:t xml:space="preserve">https://doi.org/10.1109/TGRS.2010.2051333</w:t>
        </w:r>
      </w:hyperlink>
      <w:r>
        <w:t xml:space="preserve">.</w:t>
      </w:r>
    </w:p>
    <w:bookmarkEnd w:id="286"/>
    <w:bookmarkEnd w:id="287"/>
    <w:p>
      <w:r>
        <w:br w:type="page"/>
      </w:r>
    </w:p>
    <w:bookmarkEnd w:id="288"/>
    <w:bookmarkStart w:id="324" w:name="annexes"/>
    <w:p>
      <w:pPr>
        <w:pStyle w:val="berschrift2"/>
      </w:pPr>
      <w:r>
        <w:t xml:space="preserve">Annexes</w:t>
      </w:r>
    </w:p>
    <w:bookmarkStart w:id="29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9"/>
    <w:bookmarkEnd w:id="290"/>
    <w:bookmarkStart w:id="30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1"/>
    </w:p>
    <w:p>
      <w:pPr>
        <w:pStyle w:val="FirstParagraph"/>
      </w:pPr>
      <w:r>
        <w:t xml:space="preserve">Where</w:t>
      </w:r>
    </w:p>
    <w:p>
      <w:pPr>
        <w:pStyle w:val="Textkrper"/>
      </w:pPr>
      <w:bookmarkStart w:id="29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4"/>
    </w:p>
    <w:p>
      <w:pPr>
        <w:pStyle w:val="FirstParagraph"/>
      </w:pPr>
      <w:bookmarkStart w:id="29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5"/>
    </w:p>
    <w:p>
      <w:pPr>
        <w:pStyle w:val="FirstParagraph"/>
      </w:pPr>
      <w:r>
        <w:t xml:space="preserve">The differential phase is</w:t>
      </w:r>
    </w:p>
    <w:p>
      <w:pPr>
        <w:pStyle w:val="Textkrper"/>
      </w:pPr>
      <w:bookmarkStart w:id="29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7"/>
    </w:p>
    <w:p>
      <w:pPr>
        <w:pStyle w:val="FirstParagraph"/>
      </w:pPr>
      <w:bookmarkStart w:id="29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8"/>
    </w:p>
    <w:p>
      <w:pPr>
        <w:pStyle w:val="FirstParagraph"/>
      </w:pPr>
      <w:bookmarkStart w:id="29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1"/>
    </w:p>
    <w:bookmarkEnd w:id="302"/>
    <w:bookmarkStart w:id="30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4"/>
    </w:p>
    <w:p>
      <w:pPr>
        <w:pStyle w:val="FirstParagraph"/>
      </w:pPr>
      <w:bookmarkStart w:id="30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5"/>
    </w:p>
    <w:p>
      <w:pPr>
        <w:pStyle w:val="FirstParagraph"/>
      </w:pPr>
      <w:bookmarkStart w:id="30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8"/>
    </w:p>
    <w:bookmarkEnd w:id="309"/>
    <w:bookmarkStart w:id="314"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1"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numPr>
          <w:ilvl w:val="0"/>
          <w:numId w:val="1097"/>
        </w:numPr>
      </w:pPr>
      <w:r>
        <w:t xml:space="preserve">Pauli decomposition (3 layers)</w:t>
      </w:r>
    </w:p>
    <w:p>
      <w:pPr>
        <w:pStyle w:val="Compact"/>
        <w:numPr>
          <w:ilvl w:val="1"/>
          <w:numId w:val="1098"/>
        </w:numPr>
      </w:pPr>
      <m:oMath>
        <m:sSup>
          <m:e>
            <m:d>
              <m:dPr>
                <m:begChr m:val="|"/>
                <m:sepChr m:val=""/>
                <m:endChr m:val="|"/>
                <m:grow/>
              </m:dPr>
              <m:e>
                <m:r>
                  <m:t>α</m:t>
                </m:r>
              </m:e>
            </m:d>
          </m:e>
          <m:sup>
            <m:r>
              <m:t>2</m:t>
            </m:r>
          </m:sup>
        </m:sSup>
      </m:oMath>
      <w:r>
        <w:t xml:space="preserve">: sphere (odd-bounce interaction) [Intensity]</w:t>
      </w:r>
    </w:p>
    <w:p>
      <w:pPr>
        <w:pStyle w:val="Compact"/>
        <w:numPr>
          <w:ilvl w:val="1"/>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1"/>
          <w:numId w:val="1098"/>
        </w:numPr>
      </w:pPr>
      <m:oMath>
        <m:sSup>
          <m:e>
            <m:d>
              <m:dPr>
                <m:begChr m:val="|"/>
                <m:sepChr m:val=""/>
                <m:endChr m:val="|"/>
                <m:grow/>
              </m:dPr>
              <m:e>
                <m:r>
                  <m:t>γ</m:t>
                </m:r>
              </m:e>
            </m:d>
          </m:e>
          <m:sup>
            <m:r>
              <m:t>2</m:t>
            </m:r>
          </m:sup>
        </m:sSup>
      </m:oMath>
      <w:r>
        <w:t xml:space="preserve">: 45° diplane (volumetric interaction) [Intensity]</w:t>
      </w:r>
    </w:p>
    <w:p>
      <w:pPr>
        <w:numPr>
          <w:ilvl w:val="0"/>
          <w:numId w:val="1097"/>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1"/>
          <w:numId w:val="1099"/>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1"/>
          <w:numId w:val="1099"/>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1"/>
          <w:numId w:val="1099"/>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1"/>
          <w:numId w:val="1099"/>
        </w:numPr>
      </w:pPr>
      <m:oMath>
        <m:r>
          <m:t>θ</m:t>
        </m:r>
      </m:oMath>
      <w:r>
        <w:t xml:space="preserve">: orientation angle [degrees]</w:t>
      </w:r>
    </w:p>
    <w:p>
      <w:pPr>
        <w:pStyle w:val="Compact"/>
        <w:numPr>
          <w:ilvl w:val="1"/>
          <w:numId w:val="1099"/>
        </w:numPr>
      </w:pPr>
      <m:oMath>
        <m:sSub>
          <m:e>
            <m:r>
              <m:t>Φ</m:t>
            </m:r>
          </m:e>
          <m:sub>
            <m:r>
              <m:t>s</m:t>
            </m:r>
          </m:sub>
        </m:sSub>
      </m:oMath>
      <w:r>
        <w:t xml:space="preserve">: sphere to diplane angle [degrees]</w:t>
      </w:r>
    </w:p>
    <w:p>
      <w:pPr>
        <w:numPr>
          <w:ilvl w:val="0"/>
          <w:numId w:val="1097"/>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0" w:name="tbl:sar-pol-prd-tbl1"/>
    <w:p>
      <w:pPr>
        <w:pStyle w:val="Compact"/>
      </w:pPr>
      <w:r>
        <w:t xml:space="preserve">Table 2: Elementary objects of known scattering signature</w:t>
      </w:r>
    </w:p>
    <w:tbl>
      <w:tblPr>
        <w:tblStyle w:val="Table"/>
        <w:tblW w:type="auto" w:w="0"/>
        <w:jc w:val="left"/>
        <w:tblInd w:w="720" w:type="dxa"/>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0"/>
    <w:bookmarkEnd w:id="311"/>
    <w:bookmarkStart w:id="313"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numPr>
          <w:ilvl w:val="0"/>
          <w:numId w:val="1100"/>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2" w:name="tbl:sar-pol-prd-tbl2"/>
    <w:p>
      <w:pPr>
        <w:pStyle w:val="Compact"/>
      </w:pPr>
      <w:r>
        <w:t xml:space="preserve">Table 3: Incoherent Decompositions: Freeman-Durden, Yamaguchi, m-chi</w:t>
      </w:r>
    </w:p>
    <w:tbl>
      <w:tblPr>
        <w:tblStyle w:val="Table"/>
        <w:tblW w:type="auto" w:w="0"/>
        <w:jc w:val="left"/>
        <w:tblInd w:w="720" w:type="dxa"/>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2"/>
    <w:p>
      <w:pPr>
        <w:numPr>
          <w:ilvl w:val="0"/>
          <w:numId w:val="1100"/>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1"/>
          <w:numId w:val="1101"/>
        </w:numPr>
      </w:pPr>
      <m:oMath>
        <m:r>
          <m:t>H</m:t>
        </m:r>
      </m:oMath>
      <w:r>
        <w:t xml:space="preserve"> </w:t>
      </w:r>
      <w:r>
        <w:t xml:space="preserve">: Entropy [ ] is the polarization diversity</w:t>
      </w:r>
    </w:p>
    <w:p>
      <w:pPr>
        <w:pStyle w:val="Compact"/>
        <w:numPr>
          <w:ilvl w:val="1"/>
          <w:numId w:val="1101"/>
        </w:numPr>
      </w:pPr>
      <m:oMath>
        <m:r>
          <m:t>A</m:t>
        </m:r>
      </m:oMath>
      <w:r>
        <w:t xml:space="preserve"> </w:t>
      </w:r>
      <w:r>
        <w:t xml:space="preserve">: Anisotropy [ ] is weighted difference between the 2ⁿᵈ and 3ʳᵈ eigenvalues</w:t>
      </w:r>
    </w:p>
    <w:p>
      <w:pPr>
        <w:pStyle w:val="Compact"/>
        <w:numPr>
          <w:ilvl w:val="1"/>
          <w:numId w:val="1101"/>
        </w:numPr>
      </w:pPr>
      <m:oMath>
        <m:r>
          <m:t>α</m:t>
        </m:r>
      </m:oMath>
      <w:r>
        <w:t xml:space="preserve"> </w:t>
      </w:r>
      <w:r>
        <w:t xml:space="preserve">: Odd-even bounce angle [Degrees]</w:t>
      </w:r>
    </w:p>
    <w:p>
      <w:pPr>
        <w:pStyle w:val="Compact"/>
        <w:numPr>
          <w:ilvl w:val="1"/>
          <w:numId w:val="1101"/>
        </w:numPr>
      </w:pPr>
      <m:oMath>
        <m:r>
          <m:t>β</m:t>
        </m:r>
      </m:oMath>
      <w:r>
        <w:t xml:space="preserve"> </w:t>
      </w:r>
      <w:r>
        <w:t xml:space="preserve">: orientation angle [Degrees]</w:t>
      </w:r>
    </w:p>
    <w:bookmarkEnd w:id="313"/>
    <w:bookmarkEnd w:id="314"/>
    <w:bookmarkStart w:id="323"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8"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6" name="Picture"/>
            <a:graphic>
              <a:graphicData uri="http://schemas.openxmlformats.org/drawingml/2006/picture">
                <pic:pic>
                  <pic:nvPicPr>
                    <pic:cNvPr descr="assets/sar-pol-examples/pol-decomposition.jpeg" id="317" name="Picture"/>
                    <pic:cNvPicPr>
                      <a:picLocks noChangeArrowheads="1" noChangeAspect="1"/>
                    </pic:cNvPicPr>
                  </pic:nvPicPr>
                  <pic:blipFill>
                    <a:blip r:embed="rId315"/>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8"/>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2"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0" name="Picture"/>
            <a:graphic>
              <a:graphicData uri="http://schemas.openxmlformats.org/drawingml/2006/picture">
                <pic:pic>
                  <pic:nvPicPr>
                    <pic:cNvPr descr="assets/sar-pol-examples/m-chi-decomposition.jpeg" id="321" name="Picture"/>
                    <pic:cNvPicPr>
                      <a:picLocks noChangeArrowheads="1" noChangeAspect="1"/>
                    </pic:cNvPicPr>
                  </pic:nvPicPr>
                  <pic:blipFill>
                    <a:blip r:embed="rId319"/>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19" Target="media/rId319.jpg" /><Relationship Type="http://schemas.openxmlformats.org/officeDocument/2006/relationships/image" Id="rId315" Target="media/rId315.jp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1.2-draft</dc:title>
  <dc:creator/>
  <dc:language>en</dc:language>
  <cp:keywords/>
  <dcterms:created xsi:type="dcterms:W3CDTF">2026-02-02T10:57:23Z</dcterms:created>
  <dcterms:modified xsi:type="dcterms:W3CDTF">2026-02-02T10:57:23Z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