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Override PartName="/word/media/rId335.png" ContentType="image/png"/>
  <Override PartName="/word/media/rId339.png" ContentType="image/png"/>
  <Override PartName="/word/media/rId343.png" ContentType="image/png"/>
  <Override PartName="/word/media/rId319.jpg" ContentType="image/jpeg"/>
  <Override PartName="/word/media/rId323.jpg" ContentType="image/jpeg"/>
  <Override PartName="/word/media/rId327.png" ContentType="image/png"/>
  <Override PartName="/word/media/rId3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349" w:name="X8d64603d4f68efbf8b51a1fead1c840b36ed8a3"/>
    <w:p>
      <w:pPr>
        <w:pStyle w:val="berschrift1"/>
      </w:pPr>
      <w:r>
        <w:t xml:space="preserve">CEOS-ARD - Synthetic Aperture Radar - Geocoded Single-Look Complex</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Synthetic Aperture Radar, Geocoded Single-Look Complex</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5" w:name="document-history"/>
    <w:p>
      <w:pPr>
        <w:pStyle w:val="berschrift2"/>
      </w:pPr>
      <w:r>
        <w:t xml:space="preserve">Document History</w:t>
      </w:r>
    </w:p>
    <w:p>
      <w:pPr>
        <w:pStyle w:val="FirstParagraph"/>
      </w:pPr>
      <w:r>
        <w:t xml:space="preserve">Not available, see previous versions of the document for its history.</w:t>
      </w:r>
    </w:p>
    <w:bookmarkEnd w:id="25"/>
    <w:bookmarkStart w:id="26" w:name="contributing-authors"/>
    <w:p>
      <w:pPr>
        <w:pStyle w:val="berschrift2"/>
      </w:pPr>
      <w:r>
        <w:t xml:space="preserve">Contributing Authors</w:t>
      </w:r>
    </w:p>
    <w:p>
      <w:pPr>
        <w:pStyle w:val="Compact"/>
        <w:numPr>
          <w:ilvl w:val="0"/>
          <w:numId w:val="1001"/>
        </w:numPr>
      </w:pPr>
      <w:r>
        <w:t xml:space="preserve">François Charbonneau, Natural Resources Canada, Canada</w:t>
      </w:r>
    </w:p>
    <w:p>
      <w:pPr>
        <w:pStyle w:val="Compact"/>
        <w:numPr>
          <w:ilvl w:val="0"/>
          <w:numId w:val="1001"/>
        </w:numPr>
      </w:pPr>
      <w:r>
        <w:t xml:space="preserve">Ake Rosenqvist, soloEO / Japan Aerospace Exploration Agency, Japan</w:t>
      </w:r>
    </w:p>
    <w:p>
      <w:pPr>
        <w:pStyle w:val="Compact"/>
        <w:numPr>
          <w:ilvl w:val="0"/>
          <w:numId w:val="1001"/>
        </w:numPr>
      </w:pPr>
      <w:r>
        <w:t xml:space="preserve">John Truckenbrodt, German Aerospace Centre (DLR), Germany</w:t>
      </w:r>
    </w:p>
    <w:p>
      <w:pPr>
        <w:pStyle w:val="Compact"/>
        <w:numPr>
          <w:ilvl w:val="0"/>
          <w:numId w:val="1001"/>
        </w:numPr>
      </w:pPr>
      <w:r>
        <w:t xml:space="preserve">Clément Albinet, European Space Agency (ESA), Italy</w:t>
      </w:r>
    </w:p>
    <w:p>
      <w:pPr>
        <w:pStyle w:val="Compact"/>
        <w:numPr>
          <w:ilvl w:val="0"/>
          <w:numId w:val="1001"/>
        </w:numPr>
      </w:pPr>
      <w:r>
        <w:t xml:space="preserve">David Small, University of Zurich, Switzerland</w:t>
      </w:r>
    </w:p>
    <w:p>
      <w:pPr>
        <w:pStyle w:val="Compact"/>
        <w:numPr>
          <w:ilvl w:val="0"/>
          <w:numId w:val="1001"/>
        </w:numPr>
      </w:pPr>
      <w:r>
        <w:t xml:space="preserve">Bruce Chapman, Jet Propulsion Laboratory, USA</w:t>
      </w:r>
    </w:p>
    <w:p>
      <w:pPr>
        <w:pStyle w:val="Compact"/>
        <w:numPr>
          <w:ilvl w:val="0"/>
          <w:numId w:val="1001"/>
        </w:numPr>
      </w:pPr>
      <w:r>
        <w:t xml:space="preserve">Howard Zebker, Stanford University, USA</w:t>
      </w:r>
    </w:p>
    <w:p>
      <w:pPr>
        <w:pStyle w:val="Compact"/>
        <w:numPr>
          <w:ilvl w:val="0"/>
          <w:numId w:val="1001"/>
        </w:numPr>
      </w:pPr>
      <w:r>
        <w:t xml:space="preserve">Zheng-Shu Zhou, CSIRO, Australia</w:t>
      </w:r>
    </w:p>
    <w:p>
      <w:pPr>
        <w:pStyle w:val="Compact"/>
        <w:numPr>
          <w:ilvl w:val="0"/>
          <w:numId w:val="1001"/>
        </w:numPr>
      </w:pPr>
      <w:r>
        <w:t xml:space="preserve">David Bekaert, Jet Propulsion Laboratory, USA</w:t>
      </w:r>
    </w:p>
    <w:p>
      <w:pPr>
        <w:pStyle w:val="Compact"/>
        <w:numPr>
          <w:ilvl w:val="0"/>
          <w:numId w:val="1001"/>
        </w:numPr>
      </w:pPr>
      <w:r>
        <w:t xml:space="preserve">Virginia Brancato, Jet Propulsion Laboratory, USA</w:t>
      </w:r>
    </w:p>
    <w:p>
      <w:pPr>
        <w:pStyle w:val="Compact"/>
        <w:numPr>
          <w:ilvl w:val="0"/>
          <w:numId w:val="1001"/>
        </w:numPr>
      </w:pPr>
      <w:r>
        <w:t xml:space="preserve">Danilo Dadamia, CONAE, Argentina</w:t>
      </w:r>
    </w:p>
    <w:p>
      <w:pPr>
        <w:pStyle w:val="Compact"/>
        <w:numPr>
          <w:ilvl w:val="0"/>
          <w:numId w:val="1001"/>
        </w:numPr>
      </w:pPr>
      <w:r>
        <w:t xml:space="preserve">Benjamin Deschamps, Environment and Climate Change, Canada</w:t>
      </w:r>
    </w:p>
    <w:p>
      <w:pPr>
        <w:pStyle w:val="Compact"/>
        <w:numPr>
          <w:ilvl w:val="0"/>
          <w:numId w:val="1001"/>
        </w:numPr>
      </w:pPr>
      <w:r>
        <w:t xml:space="preserve">Matt Garthwaite, CSIRO, Australia</w:t>
      </w:r>
    </w:p>
    <w:p>
      <w:pPr>
        <w:pStyle w:val="Compact"/>
        <w:numPr>
          <w:ilvl w:val="0"/>
          <w:numId w:val="1001"/>
        </w:numPr>
      </w:pPr>
      <w:r>
        <w:t xml:space="preserve">Guillaume Hajduch, Collecte Localisation Satellites, France</w:t>
      </w:r>
    </w:p>
    <w:p>
      <w:pPr>
        <w:pStyle w:val="Compact"/>
        <w:numPr>
          <w:ilvl w:val="0"/>
          <w:numId w:val="1001"/>
        </w:numPr>
      </w:pPr>
      <w:r>
        <w:t xml:space="preserve">P.V. Jayasri, ISRO, India</w:t>
      </w:r>
    </w:p>
    <w:p>
      <w:pPr>
        <w:pStyle w:val="Compact"/>
        <w:numPr>
          <w:ilvl w:val="0"/>
          <w:numId w:val="1001"/>
        </w:numPr>
      </w:pPr>
      <w:r>
        <w:t xml:space="preserve">Josef Kellndorfer, Earth Big Data, USA</w:t>
      </w:r>
    </w:p>
    <w:p>
      <w:pPr>
        <w:pStyle w:val="Compact"/>
        <w:numPr>
          <w:ilvl w:val="0"/>
          <w:numId w:val="1001"/>
        </w:numPr>
      </w:pPr>
      <w:r>
        <w:t xml:space="preserve">Marco Lavalle, Jet Propulsion Laboratory, USA</w:t>
      </w:r>
    </w:p>
    <w:p>
      <w:pPr>
        <w:pStyle w:val="Compact"/>
        <w:numPr>
          <w:ilvl w:val="0"/>
          <w:numId w:val="1001"/>
        </w:numPr>
      </w:pPr>
      <w:r>
        <w:t xml:space="preserve">Thomas Logan, Alaska Satellite Facility, USA</w:t>
      </w:r>
    </w:p>
    <w:p>
      <w:pPr>
        <w:pStyle w:val="Compact"/>
        <w:numPr>
          <w:ilvl w:val="0"/>
          <w:numId w:val="1001"/>
        </w:numPr>
      </w:pPr>
      <w:r>
        <w:t xml:space="preserve">Franz Meyer, Alaska Satellite Facility, USA</w:t>
      </w:r>
    </w:p>
    <w:p>
      <w:pPr>
        <w:pStyle w:val="Compact"/>
        <w:numPr>
          <w:ilvl w:val="0"/>
          <w:numId w:val="1001"/>
        </w:numPr>
      </w:pPr>
      <w:r>
        <w:t xml:space="preserve">Nuno Miranda, European Space Agency (ESA), Italy</w:t>
      </w:r>
    </w:p>
    <w:p>
      <w:pPr>
        <w:pStyle w:val="Compact"/>
        <w:numPr>
          <w:ilvl w:val="0"/>
          <w:numId w:val="1001"/>
        </w:numPr>
      </w:pPr>
      <w:r>
        <w:t xml:space="preserve">Muriel Pinheiro, European Space Agency (ESA), Italy</w:t>
      </w:r>
    </w:p>
    <w:p>
      <w:pPr>
        <w:pStyle w:val="Compact"/>
        <w:numPr>
          <w:ilvl w:val="0"/>
          <w:numId w:val="1001"/>
        </w:numPr>
      </w:pPr>
      <w:r>
        <w:t xml:space="preserve">Marko Repse, Sinergise, Slovenia</w:t>
      </w:r>
    </w:p>
    <w:p>
      <w:pPr>
        <w:pStyle w:val="Compact"/>
        <w:numPr>
          <w:ilvl w:val="0"/>
          <w:numId w:val="1001"/>
        </w:numPr>
      </w:pPr>
      <w:r>
        <w:t xml:space="preserve">HariPriya Sakethapuram, ISRO, India</w:t>
      </w:r>
    </w:p>
    <w:p>
      <w:pPr>
        <w:pStyle w:val="Compact"/>
        <w:numPr>
          <w:ilvl w:val="0"/>
          <w:numId w:val="1001"/>
        </w:numPr>
      </w:pPr>
      <w:r>
        <w:t xml:space="preserve">Gustavo H. X. Shiroma, Jet Propulsion Laboratory, USA</w:t>
      </w:r>
    </w:p>
    <w:p>
      <w:pPr>
        <w:pStyle w:val="Compact"/>
        <w:numPr>
          <w:ilvl w:val="0"/>
          <w:numId w:val="1001"/>
        </w:numPr>
      </w:pPr>
      <w:r>
        <w:t xml:space="preserve">Andreia Siqueira, Geoscience Australia, Australia</w:t>
      </w:r>
    </w:p>
    <w:p>
      <w:pPr>
        <w:pStyle w:val="Compact"/>
        <w:numPr>
          <w:ilvl w:val="0"/>
          <w:numId w:val="1001"/>
        </w:numPr>
      </w:pPr>
      <w:r>
        <w:t xml:space="preserve">Scott Staniewicz, Jet Propulsion Laboratory, USA</w:t>
      </w:r>
    </w:p>
    <w:p>
      <w:pPr>
        <w:pStyle w:val="Compact"/>
        <w:numPr>
          <w:ilvl w:val="0"/>
          <w:numId w:val="1001"/>
        </w:numPr>
      </w:pPr>
      <w:r>
        <w:t xml:space="preserve">Takeo Tadono, Japan Aerospace Exploration Agency, Japan</w:t>
      </w:r>
    </w:p>
    <w:p>
      <w:pPr>
        <w:pStyle w:val="Compact"/>
        <w:numPr>
          <w:ilvl w:val="0"/>
          <w:numId w:val="1001"/>
        </w:numPr>
      </w:pPr>
      <w:r>
        <w:t xml:space="preserve">Medhavy Thankappan, Geoscience Australia, Australia</w:t>
      </w:r>
    </w:p>
    <w:p>
      <w:pPr>
        <w:pStyle w:val="Compact"/>
        <w:numPr>
          <w:ilvl w:val="0"/>
          <w:numId w:val="1001"/>
        </w:numPr>
      </w:pPr>
      <w:r>
        <w:t xml:space="preserve">Antonio Valentino, Starion for European Space Agency (ESA), Italy</w:t>
      </w:r>
    </w:p>
    <w:p>
      <w:pPr>
        <w:pStyle w:val="Compact"/>
        <w:numPr>
          <w:ilvl w:val="0"/>
          <w:numId w:val="1001"/>
        </w:numPr>
      </w:pPr>
      <w:r>
        <w:t xml:space="preserve">Anna Wendleder, German Aerospace Centre (DLR), Germany</w:t>
      </w:r>
    </w:p>
    <w:p>
      <w:pPr>
        <w:pStyle w:val="Compact"/>
        <w:numPr>
          <w:ilvl w:val="0"/>
          <w:numId w:val="1001"/>
        </w:numPr>
      </w:pPr>
      <w:r>
        <w:t xml:space="preserve">Fang Yuan, Digital Earth Africa, Australia</w:t>
      </w:r>
    </w:p>
    <w:p>
      <w:pPr>
        <w:pStyle w:val="Compact"/>
        <w:numPr>
          <w:ilvl w:val="0"/>
          <w:numId w:val="1001"/>
        </w:numPr>
      </w:pPr>
      <w:r>
        <w:t xml:space="preserve">Francesco De Zan, Delta-Phi Remote Sensing GmbH, Germany</w:t>
      </w:r>
    </w:p>
    <w:p>
      <w:r>
        <w:br w:type="page"/>
      </w:r>
    </w:p>
    <w:bookmarkEnd w:id="26"/>
    <w:bookmarkStart w:id="27"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7"/>
    <w:bookmarkStart w:id="28"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Geocoded Single-Look Complex (GSLC)</w:t>
      </w:r>
    </w:p>
    <w:p>
      <w:pPr>
        <w:pStyle w:val="Textkrper"/>
      </w:pPr>
      <w:r>
        <w:rPr>
          <w:b/>
          <w:bCs/>
        </w:rPr>
        <w:t xml:space="preserve">Version:</w:t>
      </w:r>
      <w:r>
        <w:t xml:space="preserve"> </w:t>
      </w:r>
      <w:r>
        <w:t xml:space="preserve">1.2.0-draft</w:t>
      </w:r>
    </w:p>
    <w:p>
      <w:pPr>
        <w:pStyle w:val="Textkrper"/>
      </w:pPr>
      <w:r>
        <w:rPr>
          <w:b/>
          <w:bCs/>
        </w:rPr>
        <w:t xml:space="preserve">Applies to:</w:t>
      </w:r>
      <w:r>
        <w:t xml:space="preserve"> </w:t>
      </w:r>
      <w:r>
        <w:t xml:space="preserve">Data collected by Synthetic Aperture Radar sensors</w:t>
      </w:r>
    </w:p>
    <w:bookmarkEnd w:id="28"/>
    <w:bookmarkStart w:id="29"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Geocoded Single-Look Complex (GSLC) product is relevant to interferometric studies.</w:t>
      </w:r>
      <w:r>
        <w:t xml:space="preserve"> </w:t>
      </w:r>
      <w:r>
        <w:t xml:space="preserve">The GSLC product is derived from the range-Doppler (i.e. slant range) Single-Look Complex (SLC) product using a DEM and the orbital state vectors and output in the map projected system.</w:t>
      </w:r>
      <w:r>
        <w:t xml:space="preserve"> </w:t>
      </w:r>
      <w:r>
        <w:t xml:space="preserve">The phase of a geocoded SLC is</w:t>
      </w:r>
      <w:r>
        <w:t xml:space="preserve"> </w:t>
      </w:r>
      <w:r>
        <w:t xml:space="preserve">“flattened”</w:t>
      </w:r>
      <w:r>
        <w:t xml:space="preserve"> </w:t>
      </w:r>
      <w:r>
        <w:t xml:space="preserve">with respect to a reference orbit and to a DEM, to eliminate topographic phase contributions</w:t>
      </w:r>
      <w:r>
        <w:t xml:space="preserve"> </w:t>
      </w:r>
      <w:r>
        <w:t xml:space="preserve">(</w:t>
      </w:r>
      <w:hyperlink w:anchor="ref-zebker2017">
        <w:r>
          <w:rPr>
            <w:rStyle w:val="Hyperlink"/>
          </w:rPr>
          <w:t xml:space="preserve">H. Zebker 2017</w:t>
        </w:r>
      </w:hyperlink>
      <w:r>
        <w:t xml:space="preserve">;</w:t>
      </w:r>
      <w:r>
        <w:t xml:space="preserve"> </w:t>
      </w:r>
      <w:hyperlink w:anchor="ref-zheng2017">
        <w:r>
          <w:rPr>
            <w:rStyle w:val="Hyperlink"/>
          </w:rPr>
          <w:t xml:space="preserve">Zheng and Zebker 2017</w:t>
        </w:r>
      </w:hyperlink>
      <w:r>
        <w:t xml:space="preserve">)</w:t>
      </w:r>
      <w:r>
        <w:t xml:space="preserve">.</w:t>
      </w:r>
      <w:r>
        <w:t xml:space="preserve"> </w:t>
      </w:r>
      <w:r>
        <w:t xml:space="preserve">The sample spacing of the GSLC product in the map coordinate directions is comparable to the full resolution original SLC product.</w:t>
      </w:r>
      <w:r>
        <w:t xml:space="preserve"> </w:t>
      </w:r>
      <w:r>
        <w:t xml:space="preserve">The GSLC product can be directly overlaid on a map or combined with other similar GSLC products to derive interferograms and create change maps, for example.</w:t>
      </w:r>
      <w:r>
        <w:t xml:space="preserve"> </w:t>
      </w:r>
      <w:r>
        <w:t xml:space="preserve">Since the GSLC phase is flattened, the phase difference between two GSLC products acquired on a same relative orbit produces an interferogram referring only to surface displacement and noise (i.e., no topographic fringes).</w:t>
      </w:r>
      <w:r>
        <w:t xml:space="preserve"> </w:t>
      </w:r>
      <w:r>
        <w:t xml:space="preserve">The GSLC product may optionally be radiometrically terrain corrected such that the squared amplitude yields</w:t>
      </w:r>
      <w:r>
        <w:t xml:space="preserve"> </w:t>
      </w:r>
      <m:oMath>
        <m:sSubSup>
          <m:e>
            <m:r>
              <m:t>γ</m:t>
            </m:r>
          </m:e>
          <m:sub>
            <m:r>
              <m:t>T</m:t>
            </m:r>
          </m:sub>
          <m:sup>
            <m:r>
              <m:t>0</m:t>
            </m:r>
          </m:sup>
        </m:sSubSup>
      </m:oMath>
      <w:r>
        <w:t xml:space="preserve">.</w:t>
      </w:r>
    </w:p>
    <w:p>
      <w:r>
        <w:br w:type="page"/>
      </w:r>
    </w:p>
    <w:bookmarkEnd w:id="29"/>
    <w:bookmarkStart w:id="30"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ECEF</w:t>
      </w:r>
    </w:p>
    <w:p>
      <w:pPr>
        <w:pStyle w:val="Definition"/>
      </w:pPr>
      <w:r>
        <w:t xml:space="preserve">Earth-Centred Earth-Fixed</w:t>
      </w:r>
    </w:p>
    <w:p>
      <w:pPr>
        <w:pStyle w:val="DefinitionTerm"/>
      </w:pPr>
      <w:r>
        <w:t xml:space="preserve">ECR</w:t>
      </w:r>
    </w:p>
    <w:p>
      <w:pPr>
        <w:pStyle w:val="Definition"/>
      </w:pPr>
      <w:r>
        <w:t xml:space="preserve">Earth-Centred Rotating</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InSAR</w:t>
      </w:r>
    </w:p>
    <w:p>
      <w:pPr>
        <w:pStyle w:val="Definition"/>
      </w:pPr>
      <w:r>
        <w:t xml:space="preserve">Interferometric Radar</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0"/>
    <w:bookmarkStart w:id="263"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1"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4" w:name="sec:meta-trc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meta-trcsar</w:t>
      </w:r>
    </w:p>
    <w:bookmarkStart w:id="31" w:name="threshold-requirements"/>
    <w:p>
      <w:pPr>
        <w:pStyle w:val="berschrift5"/>
      </w:pPr>
      <w:r>
        <w:t xml:space="preserve">Threshold requirements:</w:t>
      </w:r>
    </w:p>
    <w:p>
      <w:pPr>
        <w:pStyle w:val="FirstParagraph"/>
      </w:pPr>
      <w:r>
        <w:t xml:space="preserve">Not required.</w:t>
      </w:r>
      <w:r>
        <w:t xml:space="preserve"> </w:t>
      </w:r>
    </w:p>
    <w:bookmarkEnd w:id="31"/>
    <w:bookmarkStart w:id="32"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2"/>
        </w:numPr>
      </w:pPr>
      <w:r>
        <w:t xml:space="preserve">Relationship to Section </w:t>
      </w:r>
      <w:r>
        <w:t xml:space="preserve">“</w:t>
      </w:r>
      <w:hyperlink w:anchor="sec:rcm-rmasar">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2"/>
        </w:numPr>
      </w:pPr>
      <w:r>
        <w:t xml:space="preserve">Information on traceability should be available in the metadata as a single DOI landing page.</w:t>
      </w:r>
    </w:p>
    <w:bookmarkEnd w:id="32"/>
    <w:bookmarkStart w:id="33" w:name="assessment"/>
    <w:p>
      <w:pPr>
        <w:pStyle w:val="berschrift5"/>
      </w:pPr>
      <w:r>
        <w:t xml:space="preserve">Assessment:</w:t>
      </w:r>
    </w:p>
    <w:p>
      <w:pPr>
        <w:pStyle w:val="Compact"/>
        <w:numPr>
          <w:ilvl w:val="0"/>
          <w:numId w:val="1003"/>
        </w:numPr>
      </w:pPr>
      <w:r>
        <w:t xml:space="preserve">Threshold Self-Assessment:</w:t>
      </w:r>
    </w:p>
    <w:p>
      <w:pPr>
        <w:pStyle w:val="Compact"/>
        <w:numPr>
          <w:ilvl w:val="0"/>
          <w:numId w:val="1003"/>
        </w:numPr>
      </w:pPr>
      <w:r>
        <w:t xml:space="preserve">Goal Self-Assessment:</w:t>
      </w:r>
    </w:p>
    <w:p>
      <w:pPr>
        <w:pStyle w:val="Compact"/>
        <w:numPr>
          <w:ilvl w:val="0"/>
          <w:numId w:val="1003"/>
        </w:numPr>
      </w:pPr>
      <w:r>
        <w:t xml:space="preserve">Self-Assessment Explanation/ Justification:</w:t>
      </w:r>
    </w:p>
    <w:p>
      <w:pPr>
        <w:pStyle w:val="Compact"/>
        <w:numPr>
          <w:ilvl w:val="0"/>
          <w:numId w:val="1003"/>
        </w:numPr>
      </w:pPr>
      <w:r>
        <w:t xml:space="preserve">Recommended Requirement Modification:</w:t>
      </w:r>
    </w:p>
    <w:p>
      <w:r>
        <w:pict>
          <v:rect style="width:0;height:1.5pt" o:hralign="center" o:hrstd="t" o:hr="t"/>
        </w:pict>
      </w:r>
    </w:p>
    <w:bookmarkEnd w:id="33"/>
    <w:bookmarkEnd w:id="34"/>
    <w:bookmarkStart w:id="38" w:name="sec:meta-mrdsar"/>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meta-mrdsar</w:t>
      </w:r>
    </w:p>
    <w:bookmarkStart w:id="35"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35"/>
    <w:bookmarkStart w:id="36"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36"/>
    <w:bookmarkStart w:id="37" w:name="assessment-1"/>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7"/>
    <w:bookmarkEnd w:id="38"/>
    <w:bookmarkStart w:id="42" w:name="sec:meta-prdtyp"/>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meta-prdtyp</w:t>
      </w:r>
    </w:p>
    <w:bookmarkStart w:id="39"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39"/>
    <w:bookmarkStart w:id="40" w:name="goal-requirements-2"/>
    <w:p>
      <w:pPr>
        <w:pStyle w:val="berschrift5"/>
      </w:pPr>
      <w:r>
        <w:t xml:space="preserve">Goal requirements:</w:t>
      </w:r>
    </w:p>
    <w:p>
      <w:pPr>
        <w:pStyle w:val="FirstParagraph"/>
      </w:pPr>
      <w:r>
        <w:t xml:space="preserve">As threshold.</w:t>
      </w:r>
      <w:r>
        <w:t xml:space="preserve"> </w:t>
      </w:r>
    </w:p>
    <w:bookmarkEnd w:id="40"/>
    <w:bookmarkStart w:id="41" w:name="assessment-2"/>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1"/>
    <w:bookmarkEnd w:id="42"/>
    <w:bookmarkStart w:id="46" w:name="sec:me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meta-pfsurl</w:t>
      </w:r>
    </w:p>
    <w:bookmarkStart w:id="43" w:name="threshold-requirements-3"/>
    <w:p>
      <w:pPr>
        <w:pStyle w:val="berschrift5"/>
      </w:pPr>
      <w:r>
        <w:t xml:space="preserve">Threshold requirements:</w:t>
      </w:r>
    </w:p>
    <w:p>
      <w:pPr>
        <w:pStyle w:val="FirstParagraph"/>
      </w:pPr>
      <w:r>
        <w:t xml:space="preserve">Reference to CEOS-ARD PFS document as URL.</w:t>
      </w:r>
    </w:p>
    <w:bookmarkEnd w:id="43"/>
    <w:bookmarkStart w:id="44" w:name="goal-requirements-3"/>
    <w:p>
      <w:pPr>
        <w:pStyle w:val="berschrift5"/>
      </w:pPr>
      <w:r>
        <w:t xml:space="preserve">Goal requirements:</w:t>
      </w:r>
    </w:p>
    <w:p>
      <w:pPr>
        <w:pStyle w:val="FirstParagraph"/>
      </w:pPr>
      <w:r>
        <w:t xml:space="preserve">As threshold.</w:t>
      </w:r>
      <w:r>
        <w:t xml:space="preserve"> </w:t>
      </w:r>
    </w:p>
    <w:bookmarkEnd w:id="44"/>
    <w:bookmarkStart w:id="45" w:name="assessment-3"/>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5"/>
    <w:bookmarkEnd w:id="46"/>
    <w:bookmarkStart w:id="50" w:name="sec:meta-tim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meta-timsar</w:t>
      </w:r>
    </w:p>
    <w:bookmarkStart w:id="47"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pacqd">
        <w:r>
          <w:rPr>
            <w:rStyle w:val="Hyperlink"/>
          </w:rPr>
          <w:t xml:space="preserve">Per-Pixel Metadata: Acquisition ID Image</w:t>
        </w:r>
      </w:hyperlink>
      <w:r>
        <w:t xml:space="preserve">”</w:t>
      </w:r>
      <w:r>
        <w:t xml:space="preserve"> </w:t>
      </w:r>
      <w:r>
        <w:t xml:space="preserve">is provided with the product.</w:t>
      </w:r>
    </w:p>
    <w:bookmarkEnd w:id="47"/>
    <w:bookmarkStart w:id="48" w:name="goal-requirements-4"/>
    <w:p>
      <w:pPr>
        <w:pStyle w:val="berschrift5"/>
      </w:pPr>
      <w:r>
        <w:t xml:space="preserve">Goal requirements:</w:t>
      </w:r>
    </w:p>
    <w:p>
      <w:pPr>
        <w:pStyle w:val="FirstParagraph"/>
      </w:pPr>
      <w:r>
        <w:t xml:space="preserve">As threshold.</w:t>
      </w:r>
      <w:r>
        <w:t xml:space="preserve"> </w:t>
      </w:r>
    </w:p>
    <w:bookmarkEnd w:id="48"/>
    <w:bookmarkStart w:id="49" w:name="assessment-4"/>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bookmarkEnd w:id="49"/>
    <w:bookmarkEnd w:id="50"/>
    <w:bookmarkEnd w:id="51"/>
    <w:bookmarkStart w:id="106"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55" w:name="sec:src-acq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src-acqid</w:t>
      </w:r>
    </w:p>
    <w:bookmarkStart w:id="52"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2"/>
    <w:bookmarkStart w:id="53" w:name="goal-requirements-5"/>
    <w:p>
      <w:pPr>
        <w:pStyle w:val="berschrift5"/>
      </w:pPr>
      <w:r>
        <w:t xml:space="preserve">Goal requirements:</w:t>
      </w:r>
    </w:p>
    <w:p>
      <w:pPr>
        <w:pStyle w:val="FirstParagraph"/>
      </w:pPr>
      <w:r>
        <w:t xml:space="preserve">As threshold.</w:t>
      </w:r>
      <w:r>
        <w:t xml:space="preserve"> </w:t>
      </w:r>
    </w:p>
    <w:bookmarkEnd w:id="53"/>
    <w:bookmarkStart w:id="54" w:name="assessment-5"/>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4"/>
    <w:bookmarkEnd w:id="55"/>
    <w:bookmarkStart w:id="59" w:name="sec:src-dacsrc"/>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src-dacsrc</w:t>
      </w:r>
    </w:p>
    <w:bookmarkStart w:id="56"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56"/>
    <w:bookmarkStart w:id="57"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57"/>
    <w:bookmarkStart w:id="58" w:name="assessment-6"/>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8"/>
    <w:bookmarkEnd w:id="59"/>
    <w:bookmarkStart w:id="64" w:name="sec:src-ins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src-inssar</w:t>
      </w:r>
    </w:p>
    <w:bookmarkStart w:id="60"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0"/>
        </w:numPr>
      </w:pPr>
      <w:r>
        <w:t xml:space="preserve">Satellite name</w:t>
      </w:r>
    </w:p>
    <w:p>
      <w:pPr>
        <w:pStyle w:val="Compact"/>
        <w:numPr>
          <w:ilvl w:val="0"/>
          <w:numId w:val="1010"/>
        </w:numPr>
      </w:pPr>
      <w:r>
        <w:t xml:space="preserve">Instrument name</w:t>
      </w:r>
    </w:p>
    <w:bookmarkEnd w:id="60"/>
    <w:bookmarkStart w:id="62" w:name="goal-requirements-7"/>
    <w:p>
      <w:pPr>
        <w:pStyle w:val="berschrift5"/>
      </w:pPr>
      <w:r>
        <w:t xml:space="preserve">Goal requirements:</w:t>
      </w:r>
    </w:p>
    <w:p>
      <w:pPr>
        <w:pStyle w:val="FirstParagraph"/>
      </w:pPr>
      <w:r>
        <w:t xml:space="preserve">As threshold, but including a reference to the relevant</w:t>
      </w:r>
      <w:r>
        <w:t xml:space="preserve"> </w:t>
      </w:r>
      <w:hyperlink r:id="rId61">
        <w:r>
          <w:rPr>
            <w:rStyle w:val="Hyperlink"/>
          </w:rPr>
          <w:t xml:space="preserve">CEOS Missions, Instruments and Measurements Database</w:t>
        </w:r>
      </w:hyperlink>
      <w:r>
        <w:t xml:space="preserve"> </w:t>
      </w:r>
      <w:r>
        <w:t xml:space="preserve">record.</w:t>
      </w:r>
    </w:p>
    <w:bookmarkEnd w:id="62"/>
    <w:bookmarkStart w:id="63" w:name="assessment-7"/>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63"/>
    <w:bookmarkEnd w:id="64"/>
    <w:bookmarkStart w:id="68" w:name="sec:src-timsrc"/>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src-timsrc</w:t>
      </w:r>
    </w:p>
    <w:bookmarkStart w:id="65"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65"/>
    <w:bookmarkStart w:id="66" w:name="goal-requirements-8"/>
    <w:p>
      <w:pPr>
        <w:pStyle w:val="berschrift5"/>
      </w:pPr>
      <w:r>
        <w:t xml:space="preserve">Goal requirements:</w:t>
      </w:r>
    </w:p>
    <w:p>
      <w:pPr>
        <w:pStyle w:val="FirstParagraph"/>
      </w:pPr>
      <w:r>
        <w:t xml:space="preserve">As threshold.</w:t>
      </w:r>
      <w:r>
        <w:t xml:space="preserve"> </w:t>
      </w:r>
    </w:p>
    <w:bookmarkEnd w:id="66"/>
    <w:bookmarkStart w:id="67" w:name="assessment-8"/>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7"/>
    <w:bookmarkEnd w:id="68"/>
    <w:bookmarkStart w:id="72" w:name="sec:src-acqpar"/>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src-acqpar</w:t>
      </w:r>
    </w:p>
    <w:bookmarkStart w:id="69"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3"/>
        </w:numPr>
      </w:pPr>
      <w:r>
        <w:t xml:space="preserve">Radar band</w:t>
      </w:r>
    </w:p>
    <w:p>
      <w:pPr>
        <w:pStyle w:val="Compact"/>
        <w:numPr>
          <w:ilvl w:val="0"/>
          <w:numId w:val="1013"/>
        </w:numPr>
      </w:pPr>
      <w:r>
        <w:t xml:space="preserve">Centre frequency</w:t>
      </w:r>
    </w:p>
    <w:p>
      <w:pPr>
        <w:pStyle w:val="Compact"/>
        <w:numPr>
          <w:ilvl w:val="0"/>
          <w:numId w:val="1013"/>
        </w:numPr>
      </w:pPr>
      <w:r>
        <w:t xml:space="preserve">Observation mode (i.e., beam mode name)</w:t>
      </w:r>
    </w:p>
    <w:p>
      <w:pPr>
        <w:pStyle w:val="Compact"/>
        <w:numPr>
          <w:ilvl w:val="0"/>
          <w:numId w:val="1013"/>
        </w:numPr>
      </w:pPr>
      <w:r>
        <w:t xml:space="preserve">Polarization(s) (listed as in original product)</w:t>
      </w:r>
    </w:p>
    <w:p>
      <w:pPr>
        <w:pStyle w:val="Compact"/>
        <w:numPr>
          <w:ilvl w:val="0"/>
          <w:numId w:val="1013"/>
        </w:numPr>
      </w:pPr>
      <w:r>
        <w:t xml:space="preserve">Antenna pointing (right/left)</w:t>
      </w:r>
    </w:p>
    <w:p>
      <w:pPr>
        <w:pStyle w:val="Compact"/>
        <w:numPr>
          <w:ilvl w:val="0"/>
          <w:numId w:val="1013"/>
        </w:numPr>
      </w:pPr>
      <w:r>
        <w:t xml:space="preserve">Beam ID (i.e., beam mode mnemonic)</w:t>
      </w:r>
    </w:p>
    <w:bookmarkEnd w:id="69"/>
    <w:bookmarkStart w:id="70" w:name="goal-requirements-9"/>
    <w:p>
      <w:pPr>
        <w:pStyle w:val="berschrift5"/>
      </w:pPr>
      <w:r>
        <w:t xml:space="preserve">Goal requirements:</w:t>
      </w:r>
    </w:p>
    <w:p>
      <w:pPr>
        <w:pStyle w:val="FirstParagraph"/>
      </w:pPr>
      <w:r>
        <w:t xml:space="preserve">As threshold.</w:t>
      </w:r>
      <w:r>
        <w:t xml:space="preserve"> </w:t>
      </w:r>
    </w:p>
    <w:bookmarkEnd w:id="70"/>
    <w:bookmarkStart w:id="71" w:name="assessment-9"/>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71"/>
    <w:bookmarkEnd w:id="72"/>
    <w:bookmarkStart w:id="77" w:name="sec:src-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src-orbit</w:t>
      </w:r>
    </w:p>
    <w:bookmarkStart w:id="74"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5"/>
        </w:numPr>
      </w:pPr>
      <w:r>
        <w:t xml:space="preserve">Pass direction (asc/desc)</w:t>
      </w:r>
      <w:r>
        <w:rPr>
          <w:rStyle w:val="Funotenzeichen"/>
        </w:rPr>
        <w:footnoteReference w:id="73"/>
      </w:r>
    </w:p>
    <w:p>
      <w:pPr>
        <w:pStyle w:val="Compact"/>
        <w:numPr>
          <w:ilvl w:val="0"/>
          <w:numId w:val="1015"/>
        </w:numPr>
      </w:pPr>
      <w:r>
        <w:t xml:space="preserve">Orbit data source (e.g., predicted, definite, precise, downlinked, etc.)</w:t>
      </w:r>
    </w:p>
    <w:bookmarkEnd w:id="74"/>
    <w:bookmarkStart w:id="75" w:name="goal-requirements-10"/>
    <w:p>
      <w:pPr>
        <w:pStyle w:val="berschrift5"/>
      </w:pPr>
      <w:r>
        <w:t xml:space="preserve">Goal requirements:</w:t>
      </w:r>
    </w:p>
    <w:p>
      <w:pPr>
        <w:pStyle w:val="FirstParagraph"/>
      </w:pPr>
      <w:r>
        <w:t xml:space="preserve">As threshold, including also:</w:t>
      </w:r>
    </w:p>
    <w:p>
      <w:pPr>
        <w:pStyle w:val="Compact"/>
        <w:numPr>
          <w:ilvl w:val="0"/>
          <w:numId w:val="1016"/>
        </w:numPr>
      </w:pPr>
      <w:r>
        <w:t xml:space="preserve">Platform heading angle expressed in degrees (0-360) from North</w:t>
      </w:r>
    </w:p>
    <w:p>
      <w:pPr>
        <w:pStyle w:val="Compact"/>
        <w:numPr>
          <w:ilvl w:val="0"/>
          <w:numId w:val="1016"/>
        </w:numPr>
      </w:pPr>
      <w:r>
        <w:t xml:space="preserve">Orbit data file containing state vectors (minimum of 5 state vectors, from 10% of scene length before start time to 10% of scene length after stop time)</w:t>
      </w:r>
    </w:p>
    <w:p>
      <w:pPr>
        <w:pStyle w:val="Compact"/>
        <w:numPr>
          <w:ilvl w:val="0"/>
          <w:numId w:val="1016"/>
        </w:numPr>
      </w:pPr>
      <w:r>
        <w:t xml:space="preserve">Platform (mean) altitude</w:t>
      </w:r>
    </w:p>
    <w:bookmarkEnd w:id="75"/>
    <w:bookmarkStart w:id="76"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76"/>
    <w:bookmarkEnd w:id="77"/>
    <w:bookmarkStart w:id="81" w:name="sec:src-prcpar"/>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src-prcpar</w:t>
      </w:r>
    </w:p>
    <w:bookmarkStart w:id="78"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8"/>
        </w:numPr>
      </w:pPr>
      <w:r>
        <w:t xml:space="preserve">Processing facility</w:t>
      </w:r>
    </w:p>
    <w:p>
      <w:pPr>
        <w:pStyle w:val="Compact"/>
        <w:numPr>
          <w:ilvl w:val="0"/>
          <w:numId w:val="1018"/>
        </w:numPr>
      </w:pPr>
      <w:r>
        <w:t xml:space="preserve">Processing date</w:t>
      </w:r>
    </w:p>
    <w:p>
      <w:pPr>
        <w:pStyle w:val="Compact"/>
        <w:numPr>
          <w:ilvl w:val="0"/>
          <w:numId w:val="1018"/>
        </w:numPr>
      </w:pPr>
      <w:r>
        <w:t xml:space="preserve">Software version</w:t>
      </w:r>
    </w:p>
    <w:p>
      <w:pPr>
        <w:pStyle w:val="Compact"/>
        <w:numPr>
          <w:ilvl w:val="0"/>
          <w:numId w:val="1018"/>
        </w:numPr>
      </w:pPr>
      <w:r>
        <w:t xml:space="preserve">Product level</w:t>
      </w:r>
    </w:p>
    <w:p>
      <w:pPr>
        <w:pStyle w:val="Compact"/>
        <w:numPr>
          <w:ilvl w:val="0"/>
          <w:numId w:val="1018"/>
        </w:numPr>
      </w:pPr>
      <w:r>
        <w:t xml:space="preserve">Product ID (file name)</w:t>
      </w:r>
    </w:p>
    <w:p>
      <w:pPr>
        <w:pStyle w:val="Compact"/>
        <w:numPr>
          <w:ilvl w:val="0"/>
          <w:numId w:val="1018"/>
        </w:numPr>
      </w:pPr>
      <w:r>
        <w:t xml:space="preserve">Azimuth number of looks</w:t>
      </w:r>
    </w:p>
    <w:p>
      <w:pPr>
        <w:pStyle w:val="Compact"/>
        <w:numPr>
          <w:ilvl w:val="0"/>
          <w:numId w:val="1018"/>
        </w:numPr>
      </w:pPr>
      <w:r>
        <w:t xml:space="preserve">Range number of looks (separate values for each beam, as necessary)</w:t>
      </w:r>
    </w:p>
    <w:bookmarkEnd w:id="78"/>
    <w:bookmarkStart w:id="79"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79"/>
    <w:bookmarkStart w:id="80" w:name="assessment-11"/>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80"/>
    <w:bookmarkEnd w:id="81"/>
    <w:bookmarkStart w:id="85" w:name="sec:src-imgatt"/>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src-imgatt</w:t>
      </w:r>
    </w:p>
    <w:bookmarkStart w:id="82"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0"/>
        </w:numPr>
      </w:pPr>
      <w:r>
        <w:t xml:space="preserve">Source Data geometry (slant range/ground range)</w:t>
      </w:r>
    </w:p>
    <w:p>
      <w:pPr>
        <w:pStyle w:val="Compact"/>
        <w:numPr>
          <w:ilvl w:val="0"/>
          <w:numId w:val="1020"/>
        </w:numPr>
      </w:pPr>
      <w:r>
        <w:t xml:space="preserve">Azimuth pixel spacing [m] (alternatively, Azimuth pixel spacing can be provided in second [s], equivalent to the azimuth time sample interval)</w:t>
      </w:r>
    </w:p>
    <w:p>
      <w:pPr>
        <w:pStyle w:val="Compact"/>
        <w:numPr>
          <w:ilvl w:val="0"/>
          <w:numId w:val="1020"/>
        </w:numPr>
      </w:pPr>
      <w:r>
        <w:t xml:space="preserve">Range pixel spacing</w:t>
      </w:r>
    </w:p>
    <w:p>
      <w:pPr>
        <w:pStyle w:val="Compact"/>
        <w:numPr>
          <w:ilvl w:val="0"/>
          <w:numId w:val="1020"/>
        </w:numPr>
      </w:pPr>
      <w:r>
        <w:t xml:space="preserve">Azimuth resolution</w:t>
      </w:r>
    </w:p>
    <w:p>
      <w:pPr>
        <w:pStyle w:val="Compact"/>
        <w:numPr>
          <w:ilvl w:val="0"/>
          <w:numId w:val="1020"/>
        </w:numPr>
      </w:pPr>
      <w:r>
        <w:t xml:space="preserve">Range resolution</w:t>
      </w:r>
    </w:p>
    <w:p>
      <w:pPr>
        <w:pStyle w:val="Compact"/>
        <w:numPr>
          <w:ilvl w:val="0"/>
          <w:numId w:val="1020"/>
        </w:numPr>
      </w:pPr>
      <w:r>
        <w:t xml:space="preserve">Near range incident angle</w:t>
      </w:r>
    </w:p>
    <w:p>
      <w:pPr>
        <w:pStyle w:val="Compact"/>
        <w:numPr>
          <w:ilvl w:val="0"/>
          <w:numId w:val="1020"/>
        </w:numPr>
      </w:pPr>
      <w:r>
        <w:t xml:space="preserve">Far range incident angle</w:t>
      </w:r>
    </w:p>
    <w:bookmarkEnd w:id="82"/>
    <w:bookmarkStart w:id="83"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3"/>
    <w:bookmarkStart w:id="84" w:name="assessment-12"/>
    <w:p>
      <w:pPr>
        <w:pStyle w:val="berschrift5"/>
      </w:pPr>
      <w:r>
        <w:t xml:space="preserve">Assessment:</w:t>
      </w:r>
    </w:p>
    <w:p>
      <w:pPr>
        <w:pStyle w:val="Compact"/>
        <w:numPr>
          <w:ilvl w:val="0"/>
          <w:numId w:val="1021"/>
        </w:numPr>
      </w:pPr>
      <w:r>
        <w:t xml:space="preserve">Threshold Self-Assessment:</w:t>
      </w:r>
    </w:p>
    <w:p>
      <w:pPr>
        <w:pStyle w:val="Compact"/>
        <w:numPr>
          <w:ilvl w:val="0"/>
          <w:numId w:val="1021"/>
        </w:numPr>
      </w:pPr>
      <w:r>
        <w:t xml:space="preserve">Goal Self-Assessment:</w:t>
      </w:r>
    </w:p>
    <w:p>
      <w:pPr>
        <w:pStyle w:val="Compact"/>
        <w:numPr>
          <w:ilvl w:val="0"/>
          <w:numId w:val="1021"/>
        </w:numPr>
      </w:pPr>
      <w:r>
        <w:t xml:space="preserve">Self-Assessment Explanation/ Justification:</w:t>
      </w:r>
    </w:p>
    <w:p>
      <w:pPr>
        <w:pStyle w:val="Compact"/>
        <w:numPr>
          <w:ilvl w:val="0"/>
          <w:numId w:val="1021"/>
        </w:numPr>
      </w:pPr>
      <w:r>
        <w:t xml:space="preserve">Recommended Requirement Modification:</w:t>
      </w:r>
    </w:p>
    <w:p>
      <w:r>
        <w:pict>
          <v:rect style="width:0;height:1.5pt" o:hralign="center" o:hrstd="t" o:hr="t"/>
        </w:pict>
      </w:r>
    </w:p>
    <w:bookmarkEnd w:id="84"/>
    <w:bookmarkEnd w:id="85"/>
    <w:bookmarkStart w:id="89" w:name="sec:src-sca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src-scasar</w:t>
      </w:r>
    </w:p>
    <w:bookmarkStart w:id="86" w:name="threshold-requirements-13"/>
    <w:p>
      <w:pPr>
        <w:pStyle w:val="berschrift5"/>
      </w:pPr>
      <w:r>
        <w:t xml:space="preserve">Threshold requirements:</w:t>
      </w:r>
    </w:p>
    <w:p>
      <w:pPr>
        <w:pStyle w:val="FirstParagraph"/>
      </w:pPr>
      <w:r>
        <w:t xml:space="preserve">Not required.</w:t>
      </w:r>
      <w:r>
        <w:t xml:space="preserve"> </w:t>
      </w:r>
    </w:p>
    <w:bookmarkEnd w:id="86"/>
    <w:bookmarkStart w:id="87"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87"/>
    <w:bookmarkStart w:id="88" w:name="assessment-13"/>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8"/>
    <w:bookmarkEnd w:id="89"/>
    <w:bookmarkStart w:id="93" w:name="sec:src-prfind"/>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src-prfind</w:t>
      </w:r>
    </w:p>
    <w:bookmarkStart w:id="90"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0"/>
    <w:bookmarkStart w:id="91"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1"/>
    <w:bookmarkStart w:id="92" w:name="assessment-14"/>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92"/>
    <w:bookmarkEnd w:id="93"/>
    <w:bookmarkStart w:id="97" w:name="sec:src-polcal"/>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src-polcal</w:t>
      </w:r>
    </w:p>
    <w:bookmarkStart w:id="94" w:name="threshold-requirements-15"/>
    <w:p>
      <w:pPr>
        <w:pStyle w:val="berschrift5"/>
      </w:pPr>
      <w:r>
        <w:t xml:space="preserve">Threshold requirements:</w:t>
      </w:r>
    </w:p>
    <w:p>
      <w:pPr>
        <w:pStyle w:val="FirstParagraph"/>
      </w:pPr>
      <w:r>
        <w:t xml:space="preserve">Not required.</w:t>
      </w:r>
      <w:r>
        <w:t xml:space="preserve"> </w:t>
      </w:r>
    </w:p>
    <w:bookmarkEnd w:id="94"/>
    <w:bookmarkStart w:id="95"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95"/>
    <w:bookmarkStart w:id="96" w:name="assessment-15"/>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6"/>
    <w:bookmarkEnd w:id="97"/>
    <w:bookmarkStart w:id="101" w:name="sec:src-mfrang"/>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src-mfrang</w:t>
      </w:r>
    </w:p>
    <w:bookmarkStart w:id="98" w:name="threshold-requirements-16"/>
    <w:p>
      <w:pPr>
        <w:pStyle w:val="berschrift5"/>
      </w:pPr>
      <w:r>
        <w:t xml:space="preserve">Threshold requirements:</w:t>
      </w:r>
    </w:p>
    <w:p>
      <w:pPr>
        <w:pStyle w:val="FirstParagraph"/>
      </w:pPr>
      <w:r>
        <w:t xml:space="preserve">Not required.</w:t>
      </w:r>
      <w:r>
        <w:t xml:space="preserve"> </w:t>
      </w:r>
    </w:p>
    <w:bookmarkEnd w:id="98"/>
    <w:bookmarkStart w:id="99"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99"/>
    <w:bookmarkStart w:id="100" w:name="assessment-16"/>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100"/>
    <w:bookmarkEnd w:id="101"/>
    <w:bookmarkStart w:id="105" w:name="sec:src-ionind"/>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src-ionind</w:t>
      </w:r>
    </w:p>
    <w:bookmarkStart w:id="102" w:name="threshold-requirements-17"/>
    <w:p>
      <w:pPr>
        <w:pStyle w:val="berschrift5"/>
      </w:pPr>
      <w:r>
        <w:t xml:space="preserve">Threshold requirements:</w:t>
      </w:r>
    </w:p>
    <w:p>
      <w:pPr>
        <w:pStyle w:val="FirstParagraph"/>
      </w:pPr>
      <w:r>
        <w:t xml:space="preserve">Not required.</w:t>
      </w:r>
      <w:r>
        <w:t xml:space="preserve"> </w:t>
      </w:r>
    </w:p>
    <w:bookmarkEnd w:id="102"/>
    <w:bookmarkStart w:id="103" w:name="goal-requirements-17"/>
    <w:p>
      <w:pPr>
        <w:pStyle w:val="berschrift5"/>
      </w:pPr>
      <w:r>
        <w:t xml:space="preserve">Goal requirements:</w:t>
      </w:r>
    </w:p>
    <w:p>
      <w:pPr>
        <w:pStyle w:val="FirstParagraph"/>
      </w:pPr>
      <w:r>
        <w:t xml:space="preserve">Flag indicating whether the backscatter imagery is</w:t>
      </w:r>
      <w:r>
        <w:t xml:space="preserve"> </w:t>
      </w:r>
      <w:r>
        <w:t xml:space="preserve">“significantly impacted”</w:t>
      </w:r>
      <w:r>
        <w:t xml:space="preserve"> </w:t>
      </w:r>
      <w:r>
        <w:t xml:space="preserve">by the ionosphere (0 – false, 1 – true).</w:t>
      </w:r>
      <w:r>
        <w:t xml:space="preserve"> </w:t>
      </w:r>
      <w:r>
        <w:t xml:space="preserve">Significant impact would imply that the ionospheric impact on the backscatter exceeds the radiometric calibration requirement or goal for the imagery.</w:t>
      </w:r>
    </w:p>
    <w:bookmarkEnd w:id="103"/>
    <w:bookmarkStart w:id="104" w:name="assessment-17"/>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bookmarkEnd w:id="104"/>
    <w:bookmarkEnd w:id="105"/>
    <w:bookmarkEnd w:id="106"/>
    <w:bookmarkStart w:id="155"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0" w:name="sec:prd-dacprd"/>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prd-dacprd</w:t>
      </w:r>
    </w:p>
    <w:bookmarkStart w:id="107"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7"/>
        </w:numPr>
      </w:pPr>
      <w:r>
        <w:t xml:space="preserve">Processing facility</w:t>
      </w:r>
    </w:p>
    <w:p>
      <w:pPr>
        <w:pStyle w:val="Compact"/>
        <w:numPr>
          <w:ilvl w:val="0"/>
          <w:numId w:val="1027"/>
        </w:numPr>
      </w:pPr>
      <w:r>
        <w:t xml:space="preserve">Processing date</w:t>
      </w:r>
    </w:p>
    <w:p>
      <w:pPr>
        <w:pStyle w:val="Compact"/>
        <w:numPr>
          <w:ilvl w:val="0"/>
          <w:numId w:val="1027"/>
        </w:numPr>
      </w:pPr>
      <w:r>
        <w:t xml:space="preserve">Software version</w:t>
      </w:r>
    </w:p>
    <w:p>
      <w:pPr>
        <w:pStyle w:val="Compact"/>
        <w:numPr>
          <w:ilvl w:val="0"/>
          <w:numId w:val="1027"/>
        </w:numPr>
      </w:pPr>
      <w:r>
        <w:t xml:space="preserve">Location from where CEOS-ARD product can be retrieved, expressed as a URL or DOI.</w:t>
      </w:r>
    </w:p>
    <w:bookmarkEnd w:id="107"/>
    <w:bookmarkStart w:id="108"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08"/>
    <w:bookmarkStart w:id="109" w:name="assessment-18"/>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109"/>
    <w:bookmarkEnd w:id="110"/>
    <w:bookmarkStart w:id="114" w:name="sec:prd-auxdat"/>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prd-auxdat</w:t>
      </w:r>
    </w:p>
    <w:bookmarkStart w:id="111" w:name="threshold-requirements-19"/>
    <w:p>
      <w:pPr>
        <w:pStyle w:val="berschrift5"/>
      </w:pPr>
      <w:r>
        <w:t xml:space="preserve">Threshold requirements:</w:t>
      </w:r>
    </w:p>
    <w:p>
      <w:pPr>
        <w:pStyle w:val="FirstParagraph"/>
      </w:pPr>
      <w:r>
        <w:t xml:space="preserve">Not required.</w:t>
      </w:r>
      <w:r>
        <w:t xml:space="preserve"> </w:t>
      </w:r>
    </w:p>
    <w:bookmarkEnd w:id="111"/>
    <w:bookmarkStart w:id="112"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Notes:</w:t>
      </w:r>
    </w:p>
    <w:p>
      <w:pPr>
        <w:pStyle w:val="Compact"/>
        <w:numPr>
          <w:ilvl w:val="0"/>
          <w:numId w:val="1029"/>
        </w:numPr>
      </w:pPr>
      <w:r>
        <w:t xml:space="preserve">Auxiliary data includes DEMs, etc., and any additional data sources used in the generation of the product.</w:t>
      </w:r>
    </w:p>
    <w:bookmarkEnd w:id="112"/>
    <w:bookmarkStart w:id="113" w:name="assessment-19"/>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13"/>
    <w:bookmarkEnd w:id="114"/>
    <w:bookmarkStart w:id="118" w:name="sec:prd-smpspc"/>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prd-smpspc</w:t>
      </w:r>
    </w:p>
    <w:bookmarkStart w:id="115"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1"/>
        </w:numPr>
      </w:pPr>
      <w:r>
        <w:t xml:space="preserve">Pixel (column) spacing</w:t>
      </w:r>
    </w:p>
    <w:p>
      <w:pPr>
        <w:pStyle w:val="Compact"/>
        <w:numPr>
          <w:ilvl w:val="0"/>
          <w:numId w:val="1031"/>
        </w:numPr>
      </w:pPr>
      <w:r>
        <w:t xml:space="preserve">Line (row) spacing</w:t>
      </w:r>
    </w:p>
    <w:bookmarkEnd w:id="115"/>
    <w:bookmarkStart w:id="116" w:name="goal-requirements-20"/>
    <w:p>
      <w:pPr>
        <w:pStyle w:val="berschrift5"/>
      </w:pPr>
      <w:r>
        <w:t xml:space="preserve">Goal requirements:</w:t>
      </w:r>
    </w:p>
    <w:p>
      <w:pPr>
        <w:pStyle w:val="FirstParagraph"/>
      </w:pPr>
      <w:r>
        <w:t xml:space="preserve">As threshold.</w:t>
      </w:r>
      <w:r>
        <w:t xml:space="preserve"> </w:t>
      </w:r>
    </w:p>
    <w:bookmarkEnd w:id="116"/>
    <w:bookmarkStart w:id="117" w:name="assessment-20"/>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7"/>
    <w:bookmarkEnd w:id="118"/>
    <w:bookmarkStart w:id="122" w:name="sec:prd-resol"/>
    <w:p>
      <w:pPr>
        <w:pStyle w:val="berschrift4"/>
      </w:pPr>
      <w:r>
        <w:rPr>
          <w:rStyle w:val="VerbatimChar"/>
        </w:rPr>
        <w:t xml:space="preserve">3.4.</w:t>
      </w:r>
      <w:r>
        <w:t xml:space="preserve"> </w:t>
      </w:r>
      <w:r>
        <w:t xml:space="preserve">Product Resolution</w:t>
      </w:r>
    </w:p>
    <w:p>
      <w:pPr>
        <w:pStyle w:val="FirstParagraph"/>
      </w:pPr>
      <w:r>
        <w:t xml:space="preserve">Identifier:</w:t>
      </w:r>
      <w:r>
        <w:t xml:space="preserve"> </w:t>
      </w:r>
      <w:r>
        <w:rPr>
          <w:rStyle w:val="VerbatimChar"/>
        </w:rPr>
        <w:t xml:space="preserve">prd-resol</w:t>
      </w:r>
    </w:p>
    <w:bookmarkStart w:id="119" w:name="threshold-requirements-21"/>
    <w:p>
      <w:pPr>
        <w:pStyle w:val="berschrift5"/>
      </w:pPr>
      <w:r>
        <w:t xml:space="preserve">Threshold requirements:</w:t>
      </w:r>
    </w:p>
    <w:p>
      <w:pPr>
        <w:pStyle w:val="FirstParagraph"/>
      </w:pPr>
      <w:r>
        <w:t xml:space="preserve">Not required.</w:t>
      </w:r>
      <w:r>
        <w:t xml:space="preserve"> </w:t>
      </w:r>
    </w:p>
    <w:bookmarkEnd w:id="119"/>
    <w:bookmarkStart w:id="120" w:name="goal-requirements-21"/>
    <w:p>
      <w:pPr>
        <w:pStyle w:val="berschrift5"/>
      </w:pPr>
      <w:r>
        <w:t xml:space="preserve">Goal requirements:</w:t>
      </w:r>
    </w:p>
    <w:p>
      <w:pPr>
        <w:pStyle w:val="FirstParagraph"/>
      </w:pPr>
      <w:r>
        <w:t xml:space="preserve">Average spatial resolution of the CEOS-ARD product along:</w:t>
      </w:r>
    </w:p>
    <w:p>
      <w:pPr>
        <w:pStyle w:val="Compact"/>
        <w:numPr>
          <w:ilvl w:val="0"/>
          <w:numId w:val="1033"/>
        </w:numPr>
      </w:pPr>
      <w:r>
        <w:t xml:space="preserve">Columns</w:t>
      </w:r>
    </w:p>
    <w:p>
      <w:pPr>
        <w:pStyle w:val="Compact"/>
        <w:numPr>
          <w:ilvl w:val="0"/>
          <w:numId w:val="1033"/>
        </w:numPr>
      </w:pPr>
      <w:r>
        <w:t xml:space="preserve">Rows</w:t>
      </w:r>
    </w:p>
    <w:bookmarkEnd w:id="120"/>
    <w:bookmarkStart w:id="121" w:name="assessment-21"/>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21"/>
    <w:bookmarkEnd w:id="122"/>
    <w:bookmarkStart w:id="126" w:name="sec:prd-geobx"/>
    <w:p>
      <w:pPr>
        <w:pStyle w:val="berschrift4"/>
      </w:pPr>
      <w:r>
        <w:rPr>
          <w:rStyle w:val="VerbatimChar"/>
        </w:rPr>
        <w:t xml:space="preserve">3.5.</w:t>
      </w:r>
      <w:r>
        <w:t xml:space="preserve"> </w:t>
      </w:r>
      <w:r>
        <w:t xml:space="preserve">Product Bounding Box</w:t>
      </w:r>
    </w:p>
    <w:p>
      <w:pPr>
        <w:pStyle w:val="FirstParagraph"/>
      </w:pPr>
      <w:r>
        <w:t xml:space="preserve">Identifier:</w:t>
      </w:r>
      <w:r>
        <w:t xml:space="preserve"> </w:t>
      </w:r>
      <w:r>
        <w:rPr>
          <w:rStyle w:val="VerbatimChar"/>
        </w:rPr>
        <w:t xml:space="preserve">prd-geobx</w:t>
      </w:r>
    </w:p>
    <w:bookmarkStart w:id="123" w:name="threshold-requirements-22"/>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crs">
        <w:r>
          <w:rPr>
            <w:rStyle w:val="Hyperlink"/>
          </w:rPr>
          <w:t xml:space="preserve">Product Metadata: Product Coordinate Reference System</w:t>
        </w:r>
      </w:hyperlink>
      <w:r>
        <w:t xml:space="preserve">”</w:t>
      </w:r>
      <w:r>
        <w:t xml:space="preserve">.</w:t>
      </w:r>
    </w:p>
    <w:p>
      <w:pPr>
        <w:pStyle w:val="Textkrper"/>
      </w:pPr>
      <w:r>
        <w:t xml:space="preserve">Notes:</w:t>
      </w:r>
    </w:p>
    <w:p>
      <w:pPr>
        <w:pStyle w:val="Compact"/>
        <w:numPr>
          <w:ilvl w:val="0"/>
          <w:numId w:val="1035"/>
        </w:numPr>
      </w:pPr>
      <w:r>
        <w:t xml:space="preserve">Four corners of the product file are recommended for scenes crossing the Antemeridian, or the North or the South Pole.</w:t>
      </w:r>
    </w:p>
    <w:bookmarkEnd w:id="123"/>
    <w:bookmarkStart w:id="124" w:name="goal-requirements-22"/>
    <w:p>
      <w:pPr>
        <w:pStyle w:val="berschrift5"/>
      </w:pPr>
      <w:r>
        <w:t xml:space="preserve">Goal requirements:</w:t>
      </w:r>
    </w:p>
    <w:p>
      <w:pPr>
        <w:pStyle w:val="FirstParagraph"/>
      </w:pPr>
      <w:r>
        <w:t xml:space="preserve">As threshold.</w:t>
      </w:r>
      <w:r>
        <w:t xml:space="preserve"> </w:t>
      </w:r>
    </w:p>
    <w:bookmarkEnd w:id="124"/>
    <w:bookmarkStart w:id="125" w:name="assessment-22"/>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5"/>
    <w:bookmarkEnd w:id="126"/>
    <w:bookmarkStart w:id="130" w:name="sec:prd-geoare"/>
    <w:p>
      <w:pPr>
        <w:pStyle w:val="berschrift4"/>
      </w:pPr>
      <w:r>
        <w:rPr>
          <w:rStyle w:val="VerbatimChar"/>
        </w:rPr>
        <w:t xml:space="preserve">3.6.</w:t>
      </w:r>
      <w:r>
        <w:t xml:space="preserve"> </w:t>
      </w:r>
      <w:r>
        <w:t xml:space="preserve">Product Geographical Extent</w:t>
      </w:r>
    </w:p>
    <w:p>
      <w:pPr>
        <w:pStyle w:val="FirstParagraph"/>
      </w:pPr>
      <w:r>
        <w:t xml:space="preserve">Identifier:</w:t>
      </w:r>
      <w:r>
        <w:t xml:space="preserve"> </w:t>
      </w:r>
      <w:r>
        <w:rPr>
          <w:rStyle w:val="VerbatimChar"/>
        </w:rPr>
        <w:t xml:space="preserve">prd-geoare</w:t>
      </w:r>
    </w:p>
    <w:bookmarkStart w:id="127" w:name="threshold-requirements-23"/>
    <w:p>
      <w:pPr>
        <w:pStyle w:val="berschrift5"/>
      </w:pPr>
      <w:r>
        <w:t xml:space="preserve">Threshold requirements:</w:t>
      </w:r>
    </w:p>
    <w:p>
      <w:pPr>
        <w:pStyle w:val="FirstParagraph"/>
      </w:pPr>
      <w:r>
        <w:t xml:space="preserve">The geometry of the SAR image footprint expressed in WGS84, in a standardised format (e.g., WKT Polygon).</w:t>
      </w:r>
    </w:p>
    <w:bookmarkEnd w:id="127"/>
    <w:bookmarkStart w:id="128" w:name="goal-requirements-23"/>
    <w:p>
      <w:pPr>
        <w:pStyle w:val="berschrift5"/>
      </w:pPr>
      <w:r>
        <w:t xml:space="preserve">Goal requirements:</w:t>
      </w:r>
    </w:p>
    <w:p>
      <w:pPr>
        <w:pStyle w:val="FirstParagraph"/>
      </w:pPr>
      <w:r>
        <w:t xml:space="preserve">As threshold.</w:t>
      </w:r>
      <w:r>
        <w:t xml:space="preserve"> </w:t>
      </w:r>
    </w:p>
    <w:bookmarkEnd w:id="128"/>
    <w:bookmarkStart w:id="129" w:name="assessment-23"/>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29"/>
    <w:bookmarkEnd w:id="130"/>
    <w:bookmarkStart w:id="134" w:name="sec:prd-imgsiz"/>
    <w:p>
      <w:pPr>
        <w:pStyle w:val="berschrift4"/>
      </w:pPr>
      <w:r>
        <w:rPr>
          <w:rStyle w:val="VerbatimChar"/>
        </w:rPr>
        <w:t xml:space="preserve">3.7.</w:t>
      </w:r>
      <w:r>
        <w:t xml:space="preserve"> </w:t>
      </w:r>
      <w:r>
        <w:t xml:space="preserve">Product Image Size</w:t>
      </w:r>
    </w:p>
    <w:p>
      <w:pPr>
        <w:pStyle w:val="FirstParagraph"/>
      </w:pPr>
      <w:r>
        <w:t xml:space="preserve">Identifier:</w:t>
      </w:r>
      <w:r>
        <w:t xml:space="preserve"> </w:t>
      </w:r>
      <w:r>
        <w:rPr>
          <w:rStyle w:val="VerbatimChar"/>
        </w:rPr>
        <w:t xml:space="preserve">prd-imgsiz</w:t>
      </w:r>
    </w:p>
    <w:bookmarkStart w:id="131" w:name="threshold-requirements-24"/>
    <w:p>
      <w:pPr>
        <w:pStyle w:val="berschrift5"/>
      </w:pPr>
      <w:r>
        <w:t xml:space="preserve">Threshold requirements:</w:t>
      </w:r>
    </w:p>
    <w:p>
      <w:pPr>
        <w:pStyle w:val="FirstParagraph"/>
      </w:pPr>
      <w:r>
        <w:t xml:space="preserve">Image attributes of the CEOS-ARD product:</w:t>
      </w:r>
    </w:p>
    <w:p>
      <w:pPr>
        <w:pStyle w:val="Compact"/>
        <w:numPr>
          <w:ilvl w:val="0"/>
          <w:numId w:val="1038"/>
        </w:numPr>
      </w:pPr>
      <w:r>
        <w:t xml:space="preserve">Number of lines</w:t>
      </w:r>
    </w:p>
    <w:p>
      <w:pPr>
        <w:pStyle w:val="Compact"/>
        <w:numPr>
          <w:ilvl w:val="0"/>
          <w:numId w:val="1038"/>
        </w:numPr>
      </w:pPr>
      <w:r>
        <w:t xml:space="preserve">Number of pixels per line</w:t>
      </w:r>
    </w:p>
    <w:p>
      <w:pPr>
        <w:pStyle w:val="Compact"/>
        <w:numPr>
          <w:ilvl w:val="0"/>
          <w:numId w:val="1038"/>
        </w:numPr>
      </w:pPr>
      <w:r>
        <w:t xml:space="preserve">File header size (if applicable)</w:t>
      </w:r>
    </w:p>
    <w:p>
      <w:pPr>
        <w:pStyle w:val="Compact"/>
        <w:numPr>
          <w:ilvl w:val="0"/>
          <w:numId w:val="1038"/>
        </w:numPr>
      </w:pPr>
      <w:r>
        <w:t xml:space="preserve">Number of no-data border pixels (if applicable)</w:t>
      </w:r>
    </w:p>
    <w:bookmarkEnd w:id="131"/>
    <w:bookmarkStart w:id="132" w:name="goal-requirements-24"/>
    <w:p>
      <w:pPr>
        <w:pStyle w:val="berschrift5"/>
      </w:pPr>
      <w:r>
        <w:t xml:space="preserve">Goal requirements:</w:t>
      </w:r>
    </w:p>
    <w:p>
      <w:pPr>
        <w:pStyle w:val="FirstParagraph"/>
      </w:pPr>
      <w:r>
        <w:t xml:space="preserve">As threshold.</w:t>
      </w:r>
      <w:r>
        <w:t xml:space="preserve"> </w:t>
      </w:r>
    </w:p>
    <w:bookmarkEnd w:id="132"/>
    <w:bookmarkStart w:id="133" w:name="assessment-24"/>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3"/>
    <w:bookmarkEnd w:id="134"/>
    <w:bookmarkStart w:id="138" w:name="sec:prd-pxconv"/>
    <w:p>
      <w:pPr>
        <w:pStyle w:val="berschrift4"/>
      </w:pPr>
      <w:r>
        <w:rPr>
          <w:rStyle w:val="VerbatimChar"/>
        </w:rPr>
        <w:t xml:space="preserve">3.8.</w:t>
      </w:r>
      <w:r>
        <w:t xml:space="preserve"> </w:t>
      </w:r>
      <w:r>
        <w:t xml:space="preserve">Product Pixel Coordinate Convention</w:t>
      </w:r>
    </w:p>
    <w:p>
      <w:pPr>
        <w:pStyle w:val="FirstParagraph"/>
      </w:pPr>
      <w:r>
        <w:t xml:space="preserve">Identifier:</w:t>
      </w:r>
      <w:r>
        <w:t xml:space="preserve"> </w:t>
      </w:r>
      <w:r>
        <w:rPr>
          <w:rStyle w:val="VerbatimChar"/>
        </w:rPr>
        <w:t xml:space="preserve">prd-pxconv</w:t>
      </w:r>
    </w:p>
    <w:bookmarkStart w:id="135" w:name="threshold-requirements-25"/>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35"/>
    <w:bookmarkStart w:id="136" w:name="goal-requirements-25"/>
    <w:p>
      <w:pPr>
        <w:pStyle w:val="berschrift5"/>
      </w:pPr>
      <w:r>
        <w:t xml:space="preserve">Goal requirements:</w:t>
      </w:r>
    </w:p>
    <w:p>
      <w:pPr>
        <w:pStyle w:val="FirstParagraph"/>
      </w:pPr>
      <w:r>
        <w:t xml:space="preserve">As threshold.</w:t>
      </w:r>
      <w:r>
        <w:t xml:space="preserve"> </w:t>
      </w:r>
    </w:p>
    <w:bookmarkEnd w:id="136"/>
    <w:bookmarkStart w:id="137" w:name="assessment-25"/>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37"/>
    <w:bookmarkEnd w:id="138"/>
    <w:bookmarkStart w:id="142" w:name="sec:prd-crs"/>
    <w:p>
      <w:pPr>
        <w:pStyle w:val="berschrift4"/>
      </w:pPr>
      <w:r>
        <w:rPr>
          <w:rStyle w:val="VerbatimChar"/>
        </w:rPr>
        <w:t xml:space="preserve">3.9.</w:t>
      </w:r>
      <w:r>
        <w:t xml:space="preserve"> </w:t>
      </w:r>
      <w:r>
        <w:t xml:space="preserve">Product Coordinate Reference System</w:t>
      </w:r>
    </w:p>
    <w:p>
      <w:pPr>
        <w:pStyle w:val="FirstParagraph"/>
      </w:pPr>
      <w:r>
        <w:t xml:space="preserve">Identifier:</w:t>
      </w:r>
      <w:r>
        <w:t xml:space="preserve"> </w:t>
      </w:r>
      <w:r>
        <w:rPr>
          <w:rStyle w:val="VerbatimChar"/>
        </w:rPr>
        <w:t xml:space="preserve">prd-crs</w:t>
      </w:r>
    </w:p>
    <w:bookmarkStart w:id="139" w:name="threshold-requirements-26"/>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39"/>
    <w:bookmarkStart w:id="140" w:name="goal-requirements-26"/>
    <w:p>
      <w:pPr>
        <w:pStyle w:val="berschrift5"/>
      </w:pPr>
      <w:r>
        <w:t xml:space="preserve">Goal requirements:</w:t>
      </w:r>
    </w:p>
    <w:p>
      <w:pPr>
        <w:pStyle w:val="FirstParagraph"/>
      </w:pPr>
      <w:r>
        <w:t xml:space="preserve">As threshold.</w:t>
      </w:r>
      <w:r>
        <w:t xml:space="preserve"> </w:t>
      </w:r>
    </w:p>
    <w:bookmarkEnd w:id="140"/>
    <w:bookmarkStart w:id="141" w:name="assessment-26"/>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41"/>
    <w:bookmarkEnd w:id="142"/>
    <w:bookmarkStart w:id="146" w:name="sec:prd-rulvec"/>
    <w:p>
      <w:pPr>
        <w:pStyle w:val="berschrift4"/>
      </w:pPr>
      <w:r>
        <w:rPr>
          <w:rStyle w:val="VerbatimChar"/>
        </w:rPr>
        <w:t xml:space="preserve">3.10.</w:t>
      </w:r>
      <w:r>
        <w:t xml:space="preserve"> </w:t>
      </w:r>
      <w:r>
        <w:t xml:space="preserve">Radar Unit Look Vector</w:t>
      </w:r>
    </w:p>
    <w:p>
      <w:pPr>
        <w:pStyle w:val="FirstParagraph"/>
      </w:pPr>
      <w:r>
        <w:t xml:space="preserve">Identifier:</w:t>
      </w:r>
      <w:r>
        <w:t xml:space="preserve"> </w:t>
      </w:r>
      <w:r>
        <w:rPr>
          <w:rStyle w:val="VerbatimChar"/>
        </w:rPr>
        <w:t xml:space="preserve">prd-rulvec</w:t>
      </w:r>
    </w:p>
    <w:bookmarkStart w:id="143" w:name="threshold-requirements-27"/>
    <w:p>
      <w:pPr>
        <w:pStyle w:val="berschrift5"/>
      </w:pPr>
      <w:r>
        <w:t xml:space="preserve">Threshold requirements:</w:t>
      </w:r>
    </w:p>
    <w:p>
      <w:pPr>
        <w:pStyle w:val="FirstParagraph"/>
      </w:pPr>
      <w:r>
        <w:t xml:space="preserve">3-D components radar unit look vector, specified at centre of scene, in an Earth-Centred Earth-Fixed (ECEF) coordinate system (also called Earth Centred Rotating - ECR) is provided.</w:t>
      </w:r>
      <w:r>
        <w:t xml:space="preserve"> </w:t>
      </w:r>
      <w:r>
        <w:t xml:space="preserve">It consists of unit vectors from antenna to surface pixel (i.e., positive Z component).</w:t>
      </w:r>
    </w:p>
    <w:p>
      <w:pPr>
        <w:pStyle w:val="Textkrper"/>
      </w:pPr>
      <w:r>
        <w:t xml:space="preserve">Only required if a Radar Unit Look Vector Grid Image (see Section </w:t>
      </w:r>
      <w:r>
        <w:t xml:space="preserve">“</w:t>
      </w:r>
      <w:hyperlink w:anchor="sec:pxl-pprulv">
        <w:r>
          <w:rPr>
            <w:rStyle w:val="Hyperlink"/>
          </w:rPr>
          <w:t xml:space="preserve">Per-Pixel Metadata: Radar Unit Look Vector Grid Image</w:t>
        </w:r>
      </w:hyperlink>
      <w:r>
        <w:t xml:space="preserve">”</w:t>
      </w:r>
      <w:r>
        <w:t xml:space="preserve">) is</w:t>
      </w:r>
      <w:r>
        <w:t xml:space="preserve"> </w:t>
      </w:r>
      <w:r>
        <w:rPr>
          <w:b/>
          <w:bCs/>
        </w:rPr>
        <w:t xml:space="preserve">not</w:t>
      </w:r>
      <w:r>
        <w:t xml:space="preserve"> </w:t>
      </w:r>
      <w:r>
        <w:t xml:space="preserve">provided.</w:t>
      </w:r>
    </w:p>
    <w:bookmarkEnd w:id="143"/>
    <w:bookmarkStart w:id="144" w:name="goal-requirements-27"/>
    <w:p>
      <w:pPr>
        <w:pStyle w:val="berschrift5"/>
      </w:pPr>
      <w:r>
        <w:t xml:space="preserve">Goal requirements:</w:t>
      </w:r>
    </w:p>
    <w:p>
      <w:pPr>
        <w:pStyle w:val="FirstParagraph"/>
      </w:pPr>
      <w:r>
        <w:t xml:space="preserve">As threshold.</w:t>
      </w:r>
      <w:r>
        <w:t xml:space="preserve"> </w:t>
      </w:r>
    </w:p>
    <w:bookmarkEnd w:id="144"/>
    <w:bookmarkStart w:id="145" w:name="assessment-27"/>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45"/>
    <w:bookmarkEnd w:id="146"/>
    <w:bookmarkStart w:id="150" w:name="sec:prd-sltrng"/>
    <w:p>
      <w:pPr>
        <w:pStyle w:val="berschrift4"/>
      </w:pPr>
      <w:r>
        <w:rPr>
          <w:rStyle w:val="VerbatimChar"/>
        </w:rPr>
        <w:t xml:space="preserve">3.11.</w:t>
      </w:r>
      <w:r>
        <w:t xml:space="preserve"> </w:t>
      </w:r>
      <w:r>
        <w:t xml:space="preserve">Slant Range Sensor to Surface</w:t>
      </w:r>
    </w:p>
    <w:p>
      <w:pPr>
        <w:pStyle w:val="FirstParagraph"/>
      </w:pPr>
      <w:r>
        <w:t xml:space="preserve">Identifier:</w:t>
      </w:r>
      <w:r>
        <w:t xml:space="preserve"> </w:t>
      </w:r>
      <w:r>
        <w:rPr>
          <w:rStyle w:val="VerbatimChar"/>
        </w:rPr>
        <w:t xml:space="preserve">prd-sltrng</w:t>
      </w:r>
    </w:p>
    <w:bookmarkStart w:id="147" w:name="threshold-requirements-28"/>
    <w:p>
      <w:pPr>
        <w:pStyle w:val="berschrift5"/>
      </w:pPr>
      <w:r>
        <w:t xml:space="preserve">Threshold requirements:</w:t>
      </w:r>
    </w:p>
    <w:p>
      <w:pPr>
        <w:pStyle w:val="FirstParagraph"/>
      </w:pPr>
      <w:r>
        <w:t xml:space="preserve">Slant range distance from the sensor to the surface, specified at centre of scene.</w:t>
      </w:r>
    </w:p>
    <w:p>
      <w:pPr>
        <w:pStyle w:val="Textkrper"/>
      </w:pPr>
      <w:r>
        <w:t xml:space="preserve">Only required if a Slant Range Sensor to Surface Image (see Section </w:t>
      </w:r>
      <w:r>
        <w:t xml:space="preserve">“</w:t>
      </w:r>
      <w:hyperlink w:anchor="sec:pxl-ppslrg">
        <w:r>
          <w:rPr>
            <w:rStyle w:val="Hyperlink"/>
          </w:rPr>
          <w:t xml:space="preserve">Per-Pixel Metadata: Slant Range Sensor to Surface Image</w:t>
        </w:r>
      </w:hyperlink>
      <w:r>
        <w:t xml:space="preserve">”</w:t>
      </w:r>
      <w:r>
        <w:t xml:space="preserve">) is</w:t>
      </w:r>
      <w:r>
        <w:t xml:space="preserve"> </w:t>
      </w:r>
      <w:r>
        <w:rPr>
          <w:b/>
          <w:bCs/>
        </w:rPr>
        <w:t xml:space="preserve">not</w:t>
      </w:r>
      <w:r>
        <w:t xml:space="preserve"> </w:t>
      </w:r>
      <w:r>
        <w:t xml:space="preserve">provided.</w:t>
      </w:r>
    </w:p>
    <w:bookmarkEnd w:id="147"/>
    <w:bookmarkStart w:id="148" w:name="goal-requirements-28"/>
    <w:p>
      <w:pPr>
        <w:pStyle w:val="berschrift5"/>
      </w:pPr>
      <w:r>
        <w:t xml:space="preserve">Goal requirements:</w:t>
      </w:r>
    </w:p>
    <w:p>
      <w:pPr>
        <w:pStyle w:val="FirstParagraph"/>
      </w:pPr>
      <w:r>
        <w:t xml:space="preserve">As threshold.</w:t>
      </w:r>
      <w:r>
        <w:t xml:space="preserve"> </w:t>
      </w:r>
    </w:p>
    <w:bookmarkEnd w:id="148"/>
    <w:bookmarkStart w:id="149" w:name="assessment-28"/>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49"/>
    <w:bookmarkEnd w:id="150"/>
    <w:bookmarkStart w:id="154" w:name="sec:prd-orbgsl"/>
    <w:p>
      <w:pPr>
        <w:pStyle w:val="berschrift4"/>
      </w:pPr>
      <w:r>
        <w:rPr>
          <w:rStyle w:val="VerbatimChar"/>
        </w:rPr>
        <w:t xml:space="preserve">3.12.</w:t>
      </w:r>
      <w:r>
        <w:t xml:space="preserve"> </w:t>
      </w:r>
      <w:r>
        <w:t xml:space="preserve">Reference Orbit</w:t>
      </w:r>
    </w:p>
    <w:p>
      <w:pPr>
        <w:pStyle w:val="FirstParagraph"/>
      </w:pPr>
      <w:r>
        <w:t xml:space="preserve">Identifier:</w:t>
      </w:r>
      <w:r>
        <w:t xml:space="preserve"> </w:t>
      </w:r>
      <w:r>
        <w:rPr>
          <w:rStyle w:val="VerbatimChar"/>
        </w:rPr>
        <w:t xml:space="preserve">prd-orbgsl</w:t>
      </w:r>
    </w:p>
    <w:p>
      <w:pPr>
        <w:pStyle w:val="Textkrper"/>
      </w:pPr>
      <w:r>
        <w:rPr>
          <w:b/>
          <w:bCs/>
        </w:rPr>
        <w:t xml:space="preserve">Usage: When a reference orbit is used instead of a virtual orbit (see Section </w:t>
      </w:r>
      <w:r>
        <w:rPr>
          <w:b/>
          <w:bCs/>
        </w:rPr>
        <w:t xml:space="preserve">“</w:t>
      </w:r>
      <w:hyperlink w:anchor="sec:annex-sar-topographic-phase-removal">
        <w:r>
          <w:rPr>
            <w:rStyle w:val="Hyperlink"/>
            <w:b/>
            <w:bCs/>
          </w:rPr>
          <w:t xml:space="preserve">Topographic phase removal</w:t>
        </w:r>
      </w:hyperlink>
      <w:r>
        <w:rPr>
          <w:b/>
          <w:bCs/>
        </w:rPr>
        <w:t xml:space="preserve">”</w:t>
      </w:r>
      <w:r>
        <w:rPr>
          <w:b/>
          <w:bCs/>
        </w:rPr>
        <w:t xml:space="preserve">).</w:t>
      </w:r>
    </w:p>
    <w:bookmarkStart w:id="151" w:name="threshold-requirements-29"/>
    <w:p>
      <w:pPr>
        <w:pStyle w:val="berschrift5"/>
      </w:pPr>
      <w:r>
        <w:t xml:space="preserve">Threshold requirements:</w:t>
      </w:r>
    </w:p>
    <w:p>
      <w:pPr>
        <w:pStyle w:val="FirstParagraph"/>
      </w:pPr>
      <w:r>
        <w:t xml:space="preserve">Not required.</w:t>
      </w:r>
      <w:r>
        <w:t xml:space="preserve"> </w:t>
      </w:r>
    </w:p>
    <w:bookmarkEnd w:id="151"/>
    <w:bookmarkStart w:id="152" w:name="goal-requirements-29"/>
    <w:p>
      <w:pPr>
        <w:pStyle w:val="berschrift5"/>
      </w:pPr>
      <w:r>
        <w:t xml:space="preserve">Goal requirements:</w:t>
      </w:r>
    </w:p>
    <w:p>
      <w:pPr>
        <w:pStyle w:val="FirstParagraph"/>
      </w:pPr>
      <w:r>
        <w:t xml:space="preserve">Provide the absolute orbit number used as reference for topographic phase flattening.</w:t>
      </w:r>
      <w:r>
        <w:t xml:space="preserve"> </w:t>
      </w:r>
      <w:r>
        <w:t xml:space="preserve">In case a virtual orbit has been used, provide orbit parameters or orbit state vectors as DOI or URL.</w:t>
      </w:r>
    </w:p>
    <w:p>
      <w:pPr>
        <w:pStyle w:val="Textkrper"/>
      </w:pPr>
      <w:r>
        <w:t xml:space="preserve">Provide scene-centred perpendicular baseline for the for the source data relative to the reference orbit used (for approximate use only).</w:t>
      </w:r>
    </w:p>
    <w:bookmarkEnd w:id="152"/>
    <w:bookmarkStart w:id="153" w:name="assessment-29"/>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bookmarkEnd w:id="153"/>
    <w:bookmarkEnd w:id="154"/>
    <w:bookmarkEnd w:id="155"/>
    <w:bookmarkStart w:id="216"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bookmarkStart w:id="159" w:name="sec:pxl-cldopt"/>
    <w:p>
      <w:pPr>
        <w:pStyle w:val="berschrift4"/>
      </w:pPr>
      <w:r>
        <w:rPr>
          <w:rStyle w:val="VerbatimChar"/>
        </w:rPr>
        <w:t xml:space="preserve">4.1.</w:t>
      </w:r>
      <w:r>
        <w:t xml:space="preserve"> </w:t>
      </w:r>
      <w:r>
        <w:t xml:space="preserve">Cloud Optimized Formats</w:t>
      </w:r>
    </w:p>
    <w:p>
      <w:pPr>
        <w:pStyle w:val="FirstParagraph"/>
      </w:pPr>
      <w:r>
        <w:t xml:space="preserve">Identifier:</w:t>
      </w:r>
      <w:r>
        <w:t xml:space="preserve"> </w:t>
      </w:r>
      <w:r>
        <w:rPr>
          <w:rStyle w:val="VerbatimChar"/>
        </w:rPr>
        <w:t xml:space="preserve">pxl-cldopt</w:t>
      </w:r>
    </w:p>
    <w:bookmarkStart w:id="156" w:name="threshold-requirements-30"/>
    <w:p>
      <w:pPr>
        <w:pStyle w:val="berschrift5"/>
      </w:pPr>
      <w:r>
        <w:t xml:space="preserve">Threshold requirements:</w:t>
      </w:r>
    </w:p>
    <w:p>
      <w:pPr>
        <w:pStyle w:val="FirstParagraph"/>
      </w:pPr>
      <w:r>
        <w:t xml:space="preserve">Not required.</w:t>
      </w:r>
      <w:r>
        <w:t xml:space="preserve"> </w:t>
      </w:r>
    </w:p>
    <w:bookmarkEnd w:id="156"/>
    <w:bookmarkStart w:id="157" w:name="goal-requirements-30"/>
    <w:p>
      <w:pPr>
        <w:pStyle w:val="berschrift5"/>
      </w:pPr>
      <w:r>
        <w:t xml:space="preserve">Goal requirements:</w:t>
      </w:r>
    </w:p>
    <w:p>
      <w:pPr>
        <w:pStyle w:val="FirstParagraph"/>
      </w:pPr>
      <w:r>
        <w:t xml:space="preserve">All files are provided using cloud-optimized file formats.</w:t>
      </w:r>
    </w:p>
    <w:bookmarkEnd w:id="157"/>
    <w:bookmarkStart w:id="158" w:name="assessment-30"/>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58"/>
    <w:bookmarkEnd w:id="159"/>
    <w:bookmarkStart w:id="163" w:name="sec:pxl-mrdsar"/>
    <w:p>
      <w:pPr>
        <w:pStyle w:val="berschrift4"/>
      </w:pPr>
      <w:r>
        <w:rPr>
          <w:rStyle w:val="VerbatimChar"/>
        </w:rPr>
        <w:t xml:space="preserve">4.2.</w:t>
      </w:r>
      <w:r>
        <w:t xml:space="preserve"> </w:t>
      </w:r>
      <w:r>
        <w:t xml:space="preserve">Metadata Machine Readability</w:t>
      </w:r>
    </w:p>
    <w:p>
      <w:pPr>
        <w:pStyle w:val="FirstParagraph"/>
      </w:pPr>
      <w:r>
        <w:t xml:space="preserve">Identifier:</w:t>
      </w:r>
      <w:r>
        <w:t xml:space="preserve"> </w:t>
      </w:r>
      <w:r>
        <w:rPr>
          <w:rStyle w:val="VerbatimChar"/>
        </w:rPr>
        <w:t xml:space="preserve">pxl-mrdsar</w:t>
      </w:r>
    </w:p>
    <w:bookmarkStart w:id="160" w:name="threshold-requirements-3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60"/>
    <w:bookmarkStart w:id="161" w:name="goal-requirements-3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61"/>
    <w:bookmarkStart w:id="162" w:name="assessment-31"/>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62"/>
    <w:bookmarkEnd w:id="163"/>
    <w:bookmarkStart w:id="167" w:name="sec:pxl-ppmask"/>
    <w:p>
      <w:pPr>
        <w:pStyle w:val="berschrift4"/>
      </w:pPr>
      <w:r>
        <w:rPr>
          <w:rStyle w:val="VerbatimChar"/>
        </w:rPr>
        <w:t xml:space="preserve">4.3.</w:t>
      </w:r>
      <w:r>
        <w:t xml:space="preserve"> </w:t>
      </w:r>
      <w:r>
        <w:t xml:space="preserve">Data Mask Image</w:t>
      </w:r>
    </w:p>
    <w:p>
      <w:pPr>
        <w:pStyle w:val="FirstParagraph"/>
      </w:pPr>
      <w:r>
        <w:t xml:space="preserve">Identifier:</w:t>
      </w:r>
      <w:r>
        <w:t xml:space="preserve"> </w:t>
      </w:r>
      <w:r>
        <w:rPr>
          <w:rStyle w:val="VerbatimChar"/>
        </w:rPr>
        <w:t xml:space="preserve">pxl-ppmask</w:t>
      </w:r>
    </w:p>
    <w:bookmarkStart w:id="164" w:name="threshold-requirements-32"/>
    <w:p>
      <w:pPr>
        <w:pStyle w:val="berschrift5"/>
      </w:pPr>
      <w:r>
        <w:t xml:space="preserve">Threshold requirements:</w:t>
      </w:r>
    </w:p>
    <w:p>
      <w:pPr>
        <w:pStyle w:val="FirstParagraph"/>
      </w:pPr>
      <w:r>
        <w:t xml:space="preserve">Mask image indicating:</w:t>
      </w:r>
    </w:p>
    <w:p>
      <w:pPr>
        <w:pStyle w:val="Compact"/>
        <w:numPr>
          <w:ilvl w:val="0"/>
          <w:numId w:val="1047"/>
        </w:numPr>
      </w:pPr>
      <w:r>
        <w:t xml:space="preserve">Valid data</w:t>
      </w:r>
    </w:p>
    <w:p>
      <w:pPr>
        <w:pStyle w:val="Compact"/>
        <w:numPr>
          <w:ilvl w:val="0"/>
          <w:numId w:val="1047"/>
        </w:numPr>
      </w:pPr>
      <w:r>
        <w:t xml:space="preserve">Invalid data</w:t>
      </w:r>
    </w:p>
    <w:p>
      <w:pPr>
        <w:pStyle w:val="Compact"/>
        <w:numPr>
          <w:ilvl w:val="0"/>
          <w:numId w:val="1047"/>
        </w:numPr>
      </w:pPr>
      <w:r>
        <w:t xml:space="preserve">No data</w:t>
      </w:r>
    </w:p>
    <w:p>
      <w:pPr>
        <w:pStyle w:val="FirstParagraph"/>
      </w:pPr>
      <w:r>
        <w:t xml:space="preserve">File format specifications/contents provided in metadata:</w:t>
      </w:r>
    </w:p>
    <w:p>
      <w:pPr>
        <w:pStyle w:val="Compact"/>
        <w:numPr>
          <w:ilvl w:val="0"/>
          <w:numId w:val="1048"/>
        </w:numPr>
      </w:pPr>
      <w:r>
        <w:t xml:space="preserve">Sample Type (Mask)</w:t>
      </w:r>
    </w:p>
    <w:p>
      <w:pPr>
        <w:pStyle w:val="Compact"/>
        <w:numPr>
          <w:ilvl w:val="0"/>
          <w:numId w:val="1048"/>
        </w:numPr>
      </w:pPr>
      <w:r>
        <w:t xml:space="preserve">Data Format (GeoTIFF, HDF5, NetCDF, …)</w:t>
      </w:r>
    </w:p>
    <w:p>
      <w:pPr>
        <w:pStyle w:val="Compact"/>
        <w:numPr>
          <w:ilvl w:val="0"/>
          <w:numId w:val="1048"/>
        </w:numPr>
      </w:pPr>
      <w:r>
        <w:t xml:space="preserve">Data Type (Int, …)</w:t>
      </w:r>
    </w:p>
    <w:p>
      <w:pPr>
        <w:pStyle w:val="Compact"/>
        <w:numPr>
          <w:ilvl w:val="0"/>
          <w:numId w:val="1048"/>
        </w:numPr>
      </w:pPr>
      <w:r>
        <w:t xml:space="preserve">Bits per Sample</w:t>
      </w:r>
    </w:p>
    <w:p>
      <w:pPr>
        <w:pStyle w:val="Compact"/>
        <w:numPr>
          <w:ilvl w:val="0"/>
          <w:numId w:val="1048"/>
        </w:numPr>
      </w:pPr>
      <w:r>
        <w:t xml:space="preserve">Byte Order</w:t>
      </w:r>
    </w:p>
    <w:p>
      <w:pPr>
        <w:pStyle w:val="Compact"/>
        <w:numPr>
          <w:ilvl w:val="0"/>
          <w:numId w:val="1048"/>
        </w:numPr>
      </w:pPr>
      <w:r>
        <w:t xml:space="preserve">Bit Value Representation</w:t>
      </w:r>
    </w:p>
    <w:bookmarkEnd w:id="164"/>
    <w:bookmarkStart w:id="165" w:name="goal-requirements-32"/>
    <w:p>
      <w:pPr>
        <w:pStyle w:val="berschrift5"/>
      </w:pPr>
      <w:r>
        <w:t xml:space="preserve">Goal requirements:</w:t>
      </w:r>
    </w:p>
    <w:p>
      <w:pPr>
        <w:pStyle w:val="FirstParagraph"/>
      </w:pPr>
      <w:r>
        <w:t xml:space="preserve">As threshold, including additional bit value representations, e.g.:</w:t>
      </w:r>
    </w:p>
    <w:p>
      <w:pPr>
        <w:pStyle w:val="Compact"/>
        <w:numPr>
          <w:ilvl w:val="0"/>
          <w:numId w:val="1049"/>
        </w:numPr>
      </w:pPr>
      <w:r>
        <w:t xml:space="preserve">Layover (masked as invalid data in threshold)</w:t>
      </w:r>
    </w:p>
    <w:p>
      <w:pPr>
        <w:pStyle w:val="Compact"/>
        <w:numPr>
          <w:ilvl w:val="0"/>
          <w:numId w:val="1049"/>
        </w:numPr>
      </w:pPr>
      <w:r>
        <w:t xml:space="preserve">Radar shadow (masked as invalid data in threshold)</w:t>
      </w:r>
    </w:p>
    <w:p>
      <w:pPr>
        <w:pStyle w:val="Compact"/>
        <w:numPr>
          <w:ilvl w:val="0"/>
          <w:numId w:val="1049"/>
        </w:numPr>
      </w:pPr>
      <w:r>
        <w:t xml:space="preserve">Ocean water</w:t>
      </w:r>
    </w:p>
    <w:p>
      <w:pPr>
        <w:pStyle w:val="Compact"/>
        <w:numPr>
          <w:ilvl w:val="0"/>
          <w:numId w:val="1049"/>
        </w:numPr>
      </w:pPr>
      <w:r>
        <w:t xml:space="preserve">Land (recommended for ORB)</w:t>
      </w:r>
    </w:p>
    <w:p>
      <w:pPr>
        <w:pStyle w:val="Compact"/>
        <w:numPr>
          <w:ilvl w:val="0"/>
          <w:numId w:val="1049"/>
        </w:numPr>
      </w:pPr>
      <w:r>
        <w:t xml:space="preserve">RTC applied (e.g., for maritime scenes with land samples for which RTC has been applied)</w:t>
      </w:r>
    </w:p>
    <w:p>
      <w:pPr>
        <w:pStyle w:val="Compact"/>
        <w:numPr>
          <w:ilvl w:val="0"/>
          <w:numId w:val="1049"/>
        </w:numPr>
      </w:pPr>
      <w:r>
        <w:t xml:space="preserve">DEM gap filling (i.e., interpolated DEM over gaps)</w:t>
      </w:r>
    </w:p>
    <w:bookmarkEnd w:id="165"/>
    <w:bookmarkStart w:id="166" w:name="assessment-32"/>
    <w:p>
      <w:pPr>
        <w:pStyle w:val="berschrift5"/>
      </w:pPr>
      <w:r>
        <w:t xml:space="preserve">Assessment:</w:t>
      </w:r>
    </w:p>
    <w:p>
      <w:pPr>
        <w:pStyle w:val="Compact"/>
        <w:numPr>
          <w:ilvl w:val="0"/>
          <w:numId w:val="1050"/>
        </w:numPr>
      </w:pPr>
      <w:r>
        <w:t xml:space="preserve">Threshold Self-Assessment:</w:t>
      </w:r>
    </w:p>
    <w:p>
      <w:pPr>
        <w:pStyle w:val="Compact"/>
        <w:numPr>
          <w:ilvl w:val="0"/>
          <w:numId w:val="1050"/>
        </w:numPr>
      </w:pPr>
      <w:r>
        <w:t xml:space="preserve">Goal Self-Assessment:</w:t>
      </w:r>
    </w:p>
    <w:p>
      <w:pPr>
        <w:pStyle w:val="Compact"/>
        <w:numPr>
          <w:ilvl w:val="0"/>
          <w:numId w:val="1050"/>
        </w:numPr>
      </w:pPr>
      <w:r>
        <w:t xml:space="preserve">Self-Assessment Explanation/ Justification:</w:t>
      </w:r>
    </w:p>
    <w:p>
      <w:pPr>
        <w:pStyle w:val="Compact"/>
        <w:numPr>
          <w:ilvl w:val="0"/>
          <w:numId w:val="1050"/>
        </w:numPr>
      </w:pPr>
      <w:r>
        <w:t xml:space="preserve">Recommended Requirement Modification:</w:t>
      </w:r>
    </w:p>
    <w:p>
      <w:r>
        <w:pict>
          <v:rect style="width:0;height:1.5pt" o:hralign="center" o:hrstd="t" o:hr="t"/>
        </w:pict>
      </w:r>
    </w:p>
    <w:bookmarkEnd w:id="166"/>
    <w:bookmarkEnd w:id="167"/>
    <w:bookmarkStart w:id="171" w:name="sec:pxl-ppscta"/>
    <w:p>
      <w:pPr>
        <w:pStyle w:val="berschrift4"/>
      </w:pPr>
      <w:r>
        <w:rPr>
          <w:rStyle w:val="VerbatimChar"/>
        </w:rPr>
        <w:t xml:space="preserve">4.4.</w:t>
      </w:r>
      <w:r>
        <w:t xml:space="preserve"> </w:t>
      </w:r>
      <w:r>
        <w:t xml:space="preserve">Scattering Area Image</w:t>
      </w:r>
    </w:p>
    <w:p>
      <w:pPr>
        <w:pStyle w:val="FirstParagraph"/>
      </w:pPr>
      <w:r>
        <w:t xml:space="preserve">Identifier:</w:t>
      </w:r>
      <w:r>
        <w:t xml:space="preserve"> </w:t>
      </w:r>
      <w:r>
        <w:rPr>
          <w:rStyle w:val="VerbatimChar"/>
        </w:rPr>
        <w:t xml:space="preserve">pxl-ppscta</w:t>
      </w:r>
    </w:p>
    <w:p>
      <w:pPr>
        <w:pStyle w:val="Textkrper"/>
      </w:pPr>
      <w:r>
        <w:rPr>
          <w:b/>
          <w:bCs/>
        </w:rPr>
        <w:t xml:space="preserve">Usage: Recommended for scenes that include land areas.</w:t>
      </w:r>
    </w:p>
    <w:bookmarkStart w:id="168" w:name="threshold-requirements-33"/>
    <w:p>
      <w:pPr>
        <w:pStyle w:val="berschrift5"/>
      </w:pPr>
      <w:r>
        <w:t xml:space="preserve">Threshold requirements:</w:t>
      </w:r>
    </w:p>
    <w:p>
      <w:pPr>
        <w:pStyle w:val="FirstParagraph"/>
      </w:pPr>
      <w:r>
        <w:t xml:space="preserve">Not required.</w:t>
      </w:r>
      <w:r>
        <w:t xml:space="preserve"> </w:t>
      </w:r>
    </w:p>
    <w:bookmarkEnd w:id="168"/>
    <w:bookmarkStart w:id="169" w:name="goal-requirements-33"/>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1"/>
        </w:numPr>
      </w:pPr>
      <w:r>
        <w:t xml:space="preserve">Sample Type (Scattering Area)</w:t>
      </w:r>
    </w:p>
    <w:p>
      <w:pPr>
        <w:pStyle w:val="Compact"/>
        <w:numPr>
          <w:ilvl w:val="0"/>
          <w:numId w:val="1051"/>
        </w:numPr>
      </w:pPr>
      <w:r>
        <w:t xml:space="preserve">Data Format (GeoTIFF, HDF5, NetCDF, …)</w:t>
      </w:r>
    </w:p>
    <w:p>
      <w:pPr>
        <w:pStyle w:val="Compact"/>
        <w:numPr>
          <w:ilvl w:val="0"/>
          <w:numId w:val="1051"/>
        </w:numPr>
      </w:pPr>
      <w:r>
        <w:t xml:space="preserve">Data Type (Int, Float, …)</w:t>
      </w:r>
    </w:p>
    <w:p>
      <w:pPr>
        <w:pStyle w:val="Compact"/>
        <w:numPr>
          <w:ilvl w:val="0"/>
          <w:numId w:val="1051"/>
        </w:numPr>
      </w:pPr>
      <w:r>
        <w:t xml:space="preserve">Bits per Sample</w:t>
      </w:r>
    </w:p>
    <w:p>
      <w:pPr>
        <w:pStyle w:val="Compact"/>
        <w:numPr>
          <w:ilvl w:val="0"/>
          <w:numId w:val="1051"/>
        </w:numPr>
      </w:pPr>
      <w:r>
        <w:t xml:space="preserve">Byte Order</w:t>
      </w:r>
    </w:p>
    <w:bookmarkEnd w:id="169"/>
    <w:bookmarkStart w:id="170" w:name="assessment-33"/>
    <w:p>
      <w:pPr>
        <w:pStyle w:val="berschrift5"/>
      </w:pPr>
      <w:r>
        <w:t xml:space="preserve">Assessment:</w:t>
      </w:r>
    </w:p>
    <w:p>
      <w:pPr>
        <w:pStyle w:val="Compact"/>
        <w:numPr>
          <w:ilvl w:val="0"/>
          <w:numId w:val="1052"/>
        </w:numPr>
      </w:pPr>
      <w:r>
        <w:t xml:space="preserve">Threshold Self-Assessment:</w:t>
      </w:r>
    </w:p>
    <w:p>
      <w:pPr>
        <w:pStyle w:val="Compact"/>
        <w:numPr>
          <w:ilvl w:val="0"/>
          <w:numId w:val="1052"/>
        </w:numPr>
      </w:pPr>
      <w:r>
        <w:t xml:space="preserve">Goal Self-Assessment:</w:t>
      </w:r>
    </w:p>
    <w:p>
      <w:pPr>
        <w:pStyle w:val="Compact"/>
        <w:numPr>
          <w:ilvl w:val="0"/>
          <w:numId w:val="1052"/>
        </w:numPr>
      </w:pPr>
      <w:r>
        <w:t xml:space="preserve">Self-Assessment Explanation/ Justification:</w:t>
      </w:r>
    </w:p>
    <w:p>
      <w:pPr>
        <w:pStyle w:val="Compact"/>
        <w:numPr>
          <w:ilvl w:val="0"/>
          <w:numId w:val="1052"/>
        </w:numPr>
      </w:pPr>
      <w:r>
        <w:t xml:space="preserve">Recommended Requirement Modification:</w:t>
      </w:r>
    </w:p>
    <w:p>
      <w:r>
        <w:pict>
          <v:rect style="width:0;height:1.5pt" o:hralign="center" o:hrstd="t" o:hr="t"/>
        </w:pict>
      </w:r>
    </w:p>
    <w:bookmarkEnd w:id="170"/>
    <w:bookmarkEnd w:id="171"/>
    <w:bookmarkStart w:id="175" w:name="sec:pxl-pplia"/>
    <w:p>
      <w:pPr>
        <w:pStyle w:val="berschrift4"/>
      </w:pPr>
      <w:r>
        <w:rPr>
          <w:rStyle w:val="VerbatimChar"/>
        </w:rPr>
        <w:t xml:space="preserve">4.5.</w:t>
      </w:r>
      <w:r>
        <w:t xml:space="preserve"> </w:t>
      </w:r>
      <w:r>
        <w:t xml:space="preserve">Local Incident Angle Image</w:t>
      </w:r>
    </w:p>
    <w:p>
      <w:pPr>
        <w:pStyle w:val="FirstParagraph"/>
      </w:pPr>
      <w:r>
        <w:t xml:space="preserve">Identifier:</w:t>
      </w:r>
      <w:r>
        <w:t xml:space="preserve"> </w:t>
      </w:r>
      <w:r>
        <w:rPr>
          <w:rStyle w:val="VerbatimChar"/>
        </w:rPr>
        <w:t xml:space="preserve">pxl-pplia</w:t>
      </w:r>
    </w:p>
    <w:bookmarkStart w:id="172" w:name="threshold-requirements-34"/>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3"/>
        </w:numPr>
      </w:pPr>
      <w:r>
        <w:t xml:space="preserve">Sample Type (Angle)</w:t>
      </w:r>
    </w:p>
    <w:p>
      <w:pPr>
        <w:pStyle w:val="Compact"/>
        <w:numPr>
          <w:ilvl w:val="0"/>
          <w:numId w:val="1053"/>
        </w:numPr>
      </w:pPr>
      <w:r>
        <w:t xml:space="preserve">Data Format (GeoTIFF, HDF5, NetCDF, …)</w:t>
      </w:r>
    </w:p>
    <w:p>
      <w:pPr>
        <w:pStyle w:val="Compact"/>
        <w:numPr>
          <w:ilvl w:val="0"/>
          <w:numId w:val="1053"/>
        </w:numPr>
      </w:pPr>
      <w:r>
        <w:t xml:space="preserve">Data Type (Int, Float, …)</w:t>
      </w:r>
    </w:p>
    <w:p>
      <w:pPr>
        <w:pStyle w:val="Compact"/>
        <w:numPr>
          <w:ilvl w:val="0"/>
          <w:numId w:val="1053"/>
        </w:numPr>
      </w:pPr>
      <w:r>
        <w:t xml:space="preserve">Bits per Sample</w:t>
      </w:r>
    </w:p>
    <w:p>
      <w:pPr>
        <w:pStyle w:val="Compact"/>
        <w:numPr>
          <w:ilvl w:val="0"/>
          <w:numId w:val="1053"/>
        </w:numPr>
      </w:pPr>
      <w:r>
        <w:t xml:space="preserve">Byte Order</w:t>
      </w:r>
    </w:p>
    <w:p>
      <w:pPr>
        <w:pStyle w:val="FirstParagraph"/>
      </w:pPr>
      <w:r>
        <w:t xml:space="preserve">Notes:</w:t>
      </w:r>
    </w:p>
    <w:p>
      <w:pPr>
        <w:pStyle w:val="Compact"/>
        <w:numPr>
          <w:ilvl w:val="0"/>
          <w:numId w:val="1054"/>
        </w:numPr>
      </w:pPr>
      <w:r>
        <w:t xml:space="preserve">For maritime ORB scenes when no land areas are covered, a geoid model could be used for the calculation of the local incident angle.</w:t>
      </w:r>
    </w:p>
    <w:bookmarkEnd w:id="172"/>
    <w:bookmarkStart w:id="173" w:name="goal-requirements-34"/>
    <w:p>
      <w:pPr>
        <w:pStyle w:val="berschrift5"/>
      </w:pPr>
      <w:r>
        <w:t xml:space="preserve">Goal requirements:</w:t>
      </w:r>
    </w:p>
    <w:p>
      <w:pPr>
        <w:pStyle w:val="FirstParagraph"/>
      </w:pPr>
      <w:r>
        <w:t xml:space="preserve">As threshold.</w:t>
      </w:r>
      <w:r>
        <w:t xml:space="preserve"> </w:t>
      </w:r>
    </w:p>
    <w:bookmarkEnd w:id="173"/>
    <w:bookmarkStart w:id="174" w:name="assessment-34"/>
    <w:p>
      <w:pPr>
        <w:pStyle w:val="berschrift5"/>
      </w:pPr>
      <w:r>
        <w:t xml:space="preserve">Assessment:</w:t>
      </w:r>
    </w:p>
    <w:p>
      <w:pPr>
        <w:pStyle w:val="Compact"/>
        <w:numPr>
          <w:ilvl w:val="0"/>
          <w:numId w:val="1055"/>
        </w:numPr>
      </w:pPr>
      <w:r>
        <w:t xml:space="preserve">Threshold Self-Assessment:</w:t>
      </w:r>
    </w:p>
    <w:p>
      <w:pPr>
        <w:pStyle w:val="Compact"/>
        <w:numPr>
          <w:ilvl w:val="0"/>
          <w:numId w:val="1055"/>
        </w:numPr>
      </w:pPr>
      <w:r>
        <w:t xml:space="preserve">Goal Self-Assessment:</w:t>
      </w:r>
    </w:p>
    <w:p>
      <w:pPr>
        <w:pStyle w:val="Compact"/>
        <w:numPr>
          <w:ilvl w:val="0"/>
          <w:numId w:val="1055"/>
        </w:numPr>
      </w:pPr>
      <w:r>
        <w:t xml:space="preserve">Self-Assessment Explanation/ Justification:</w:t>
      </w:r>
    </w:p>
    <w:p>
      <w:pPr>
        <w:pStyle w:val="Compact"/>
        <w:numPr>
          <w:ilvl w:val="0"/>
          <w:numId w:val="1055"/>
        </w:numPr>
      </w:pPr>
      <w:r>
        <w:t xml:space="preserve">Recommended Requirement Modification:</w:t>
      </w:r>
    </w:p>
    <w:p>
      <w:r>
        <w:pict>
          <v:rect style="width:0;height:1.5pt" o:hralign="center" o:hrstd="t" o:hr="t"/>
        </w:pict>
      </w:r>
    </w:p>
    <w:bookmarkEnd w:id="174"/>
    <w:bookmarkEnd w:id="175"/>
    <w:bookmarkStart w:id="179" w:name="sec:pxl-ppelia"/>
    <w:p>
      <w:pPr>
        <w:pStyle w:val="berschrift4"/>
      </w:pPr>
      <w:r>
        <w:rPr>
          <w:rStyle w:val="VerbatimChar"/>
        </w:rPr>
        <w:t xml:space="preserve">4.6.</w:t>
      </w:r>
      <w:r>
        <w:t xml:space="preserve"> </w:t>
      </w:r>
      <w:r>
        <w:t xml:space="preserve">Ellipsoidal Incident Angle Image</w:t>
      </w:r>
    </w:p>
    <w:p>
      <w:pPr>
        <w:pStyle w:val="FirstParagraph"/>
      </w:pPr>
      <w:r>
        <w:t xml:space="preserve">Identifier:</w:t>
      </w:r>
      <w:r>
        <w:t xml:space="preserve"> </w:t>
      </w:r>
      <w:r>
        <w:rPr>
          <w:rStyle w:val="VerbatimChar"/>
        </w:rPr>
        <w:t xml:space="preserve">pxl-ppelia</w:t>
      </w:r>
    </w:p>
    <w:bookmarkStart w:id="176" w:name="threshold-requirements-35"/>
    <w:p>
      <w:pPr>
        <w:pStyle w:val="berschrift5"/>
      </w:pPr>
      <w:r>
        <w:t xml:space="preserve">Threshold requirements:</w:t>
      </w:r>
    </w:p>
    <w:p>
      <w:pPr>
        <w:pStyle w:val="FirstParagraph"/>
      </w:pPr>
      <w:r>
        <w:t xml:space="preserve">Not required.</w:t>
      </w:r>
      <w:r>
        <w:t xml:space="preserve"> </w:t>
      </w:r>
    </w:p>
    <w:bookmarkEnd w:id="176"/>
    <w:bookmarkStart w:id="177" w:name="goal-requirements-35"/>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56"/>
        </w:numPr>
      </w:pPr>
      <w:r>
        <w:t xml:space="preserve">Sample Type (Angle)</w:t>
      </w:r>
    </w:p>
    <w:p>
      <w:pPr>
        <w:pStyle w:val="Compact"/>
        <w:numPr>
          <w:ilvl w:val="0"/>
          <w:numId w:val="1056"/>
        </w:numPr>
      </w:pPr>
      <w:r>
        <w:t xml:space="preserve">Data Format (GeoTIFF, HDF5, NetCDF, …)</w:t>
      </w:r>
    </w:p>
    <w:p>
      <w:pPr>
        <w:pStyle w:val="Compact"/>
        <w:numPr>
          <w:ilvl w:val="0"/>
          <w:numId w:val="1056"/>
        </w:numPr>
      </w:pPr>
      <w:r>
        <w:t xml:space="preserve">Data Type (Int, Float, …)</w:t>
      </w:r>
    </w:p>
    <w:p>
      <w:pPr>
        <w:pStyle w:val="Compact"/>
        <w:numPr>
          <w:ilvl w:val="0"/>
          <w:numId w:val="1056"/>
        </w:numPr>
      </w:pPr>
      <w:r>
        <w:t xml:space="preserve">Bits per Sample</w:t>
      </w:r>
    </w:p>
    <w:p>
      <w:pPr>
        <w:pStyle w:val="Compact"/>
        <w:numPr>
          <w:ilvl w:val="0"/>
          <w:numId w:val="1056"/>
        </w:numPr>
      </w:pPr>
      <w:r>
        <w:t xml:space="preserve">Byte Order</w:t>
      </w:r>
    </w:p>
    <w:p>
      <w:pPr>
        <w:pStyle w:val="Compact"/>
        <w:numPr>
          <w:ilvl w:val="0"/>
          <w:numId w:val="1056"/>
        </w:numPr>
      </w:pPr>
      <w:r>
        <w:t xml:space="preserve">Reference Ellipsoid Name</w:t>
      </w:r>
    </w:p>
    <w:p>
      <w:pPr>
        <w:pStyle w:val="FirstParagraph"/>
      </w:pPr>
      <w:r>
        <w:t xml:space="preserve">Notes:</w:t>
      </w:r>
    </w:p>
    <w:p>
      <w:pPr>
        <w:pStyle w:val="Compact"/>
        <w:numPr>
          <w:ilvl w:val="0"/>
          <w:numId w:val="1057"/>
        </w:numPr>
      </w:pPr>
      <w:r>
        <w:t xml:space="preserve">For maritime ORB scenes when no land areas are covered, the ellipsoidal incident angle is nearly identical to the geoid based local incident angle.</w:t>
      </w:r>
    </w:p>
    <w:bookmarkEnd w:id="177"/>
    <w:bookmarkStart w:id="178" w:name="assessment-35"/>
    <w:p>
      <w:pPr>
        <w:pStyle w:val="berschrift5"/>
      </w:pPr>
      <w:r>
        <w:t xml:space="preserve">Assessment:</w:t>
      </w:r>
    </w:p>
    <w:p>
      <w:pPr>
        <w:pStyle w:val="Compact"/>
        <w:numPr>
          <w:ilvl w:val="0"/>
          <w:numId w:val="1058"/>
        </w:numPr>
      </w:pPr>
      <w:r>
        <w:t xml:space="preserve">Threshold Self-Assessment:</w:t>
      </w:r>
    </w:p>
    <w:p>
      <w:pPr>
        <w:pStyle w:val="Compact"/>
        <w:numPr>
          <w:ilvl w:val="0"/>
          <w:numId w:val="1058"/>
        </w:numPr>
      </w:pPr>
      <w:r>
        <w:t xml:space="preserve">Goal Self-Assessment:</w:t>
      </w:r>
    </w:p>
    <w:p>
      <w:pPr>
        <w:pStyle w:val="Compact"/>
        <w:numPr>
          <w:ilvl w:val="0"/>
          <w:numId w:val="1058"/>
        </w:numPr>
      </w:pPr>
      <w:r>
        <w:t xml:space="preserve">Self-Assessment Explanation/ Justification:</w:t>
      </w:r>
    </w:p>
    <w:p>
      <w:pPr>
        <w:pStyle w:val="Compact"/>
        <w:numPr>
          <w:ilvl w:val="0"/>
          <w:numId w:val="1058"/>
        </w:numPr>
      </w:pPr>
      <w:r>
        <w:t xml:space="preserve">Recommended Requirement Modification:</w:t>
      </w:r>
    </w:p>
    <w:p>
      <w:r>
        <w:pict>
          <v:rect style="width:0;height:1.5pt" o:hralign="center" o:hrstd="t" o:hr="t"/>
        </w:pict>
      </w:r>
    </w:p>
    <w:bookmarkEnd w:id="178"/>
    <w:bookmarkEnd w:id="179"/>
    <w:bookmarkStart w:id="183" w:name="sec:pxl-ppnspw"/>
    <w:p>
      <w:pPr>
        <w:pStyle w:val="berschrift4"/>
      </w:pPr>
      <w:r>
        <w:rPr>
          <w:rStyle w:val="VerbatimChar"/>
        </w:rPr>
        <w:t xml:space="preserve">4.7.</w:t>
      </w:r>
      <w:r>
        <w:t xml:space="preserve"> </w:t>
      </w:r>
      <w:r>
        <w:t xml:space="preserve">Noise Power Image</w:t>
      </w:r>
    </w:p>
    <w:p>
      <w:pPr>
        <w:pStyle w:val="FirstParagraph"/>
      </w:pPr>
      <w:r>
        <w:t xml:space="preserve">Identifier:</w:t>
      </w:r>
      <w:r>
        <w:t xml:space="preserve"> </w:t>
      </w:r>
      <w:r>
        <w:rPr>
          <w:rStyle w:val="VerbatimChar"/>
        </w:rPr>
        <w:t xml:space="preserve">pxl-ppnspw</w:t>
      </w:r>
    </w:p>
    <w:bookmarkStart w:id="180" w:name="threshold-requirements-36"/>
    <w:p>
      <w:pPr>
        <w:pStyle w:val="berschrift5"/>
      </w:pPr>
      <w:r>
        <w:t xml:space="preserve">Threshold requirements:</w:t>
      </w:r>
    </w:p>
    <w:p>
      <w:pPr>
        <w:pStyle w:val="FirstParagraph"/>
      </w:pPr>
      <w:r>
        <w:t xml:space="preserve">Not required.</w:t>
      </w:r>
      <w:r>
        <w:t xml:space="preserve"> </w:t>
      </w:r>
    </w:p>
    <w:bookmarkEnd w:id="180"/>
    <w:bookmarkStart w:id="181" w:name="goal-requirements-36"/>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59"/>
        </w:numPr>
      </w:pPr>
      <w:r>
        <w:t xml:space="preserve">Sample Type (Gamma-Nought, Sigma-Nought, Beta-Nought)</w:t>
      </w:r>
    </w:p>
    <w:p>
      <w:pPr>
        <w:pStyle w:val="Compact"/>
        <w:numPr>
          <w:ilvl w:val="0"/>
          <w:numId w:val="1059"/>
        </w:numPr>
      </w:pPr>
      <w:r>
        <w:t xml:space="preserve">Data Format (GeoTIFF, HDF5, NetCDF, …)</w:t>
      </w:r>
    </w:p>
    <w:p>
      <w:pPr>
        <w:pStyle w:val="Compact"/>
        <w:numPr>
          <w:ilvl w:val="0"/>
          <w:numId w:val="1059"/>
        </w:numPr>
      </w:pPr>
      <w:r>
        <w:t xml:space="preserve">Data Type (Int, Float, …)</w:t>
      </w:r>
    </w:p>
    <w:p>
      <w:pPr>
        <w:pStyle w:val="Compact"/>
        <w:numPr>
          <w:ilvl w:val="0"/>
          <w:numId w:val="1059"/>
        </w:numPr>
      </w:pPr>
      <w:r>
        <w:t xml:space="preserve">Bits per Sample</w:t>
      </w:r>
    </w:p>
    <w:p>
      <w:pPr>
        <w:pStyle w:val="Compact"/>
        <w:numPr>
          <w:ilvl w:val="0"/>
          <w:numId w:val="1059"/>
        </w:numPr>
      </w:pPr>
      <w:r>
        <w:t xml:space="preserve">Byte Order</w:t>
      </w:r>
    </w:p>
    <w:bookmarkEnd w:id="181"/>
    <w:bookmarkStart w:id="182" w:name="assessment-36"/>
    <w:p>
      <w:pPr>
        <w:pStyle w:val="berschrift5"/>
      </w:pPr>
      <w:r>
        <w:t xml:space="preserve">Assessment:</w:t>
      </w:r>
    </w:p>
    <w:p>
      <w:pPr>
        <w:pStyle w:val="Compact"/>
        <w:numPr>
          <w:ilvl w:val="0"/>
          <w:numId w:val="1060"/>
        </w:numPr>
      </w:pPr>
      <w:r>
        <w:t xml:space="preserve">Threshold Self-Assessment:</w:t>
      </w:r>
    </w:p>
    <w:p>
      <w:pPr>
        <w:pStyle w:val="Compact"/>
        <w:numPr>
          <w:ilvl w:val="0"/>
          <w:numId w:val="1060"/>
        </w:numPr>
      </w:pPr>
      <w:r>
        <w:t xml:space="preserve">Goal Self-Assessment:</w:t>
      </w:r>
    </w:p>
    <w:p>
      <w:pPr>
        <w:pStyle w:val="Compact"/>
        <w:numPr>
          <w:ilvl w:val="0"/>
          <w:numId w:val="1060"/>
        </w:numPr>
      </w:pPr>
      <w:r>
        <w:t xml:space="preserve">Self-Assessment Explanation/ Justification:</w:t>
      </w:r>
    </w:p>
    <w:p>
      <w:pPr>
        <w:pStyle w:val="Compact"/>
        <w:numPr>
          <w:ilvl w:val="0"/>
          <w:numId w:val="1060"/>
        </w:numPr>
      </w:pPr>
      <w:r>
        <w:t xml:space="preserve">Recommended Requirement Modification:</w:t>
      </w:r>
    </w:p>
    <w:p>
      <w:r>
        <w:pict>
          <v:rect style="width:0;height:1.5pt" o:hralign="center" o:hrstd="t" o:hr="t"/>
        </w:pict>
      </w:r>
    </w:p>
    <w:bookmarkEnd w:id="182"/>
    <w:bookmarkEnd w:id="183"/>
    <w:bookmarkStart w:id="187" w:name="sec:pxl-ppgmsg"/>
    <w:p>
      <w:pPr>
        <w:pStyle w:val="berschrift4"/>
      </w:pPr>
      <w:r>
        <w:rPr>
          <w:rStyle w:val="VerbatimChar"/>
        </w:rPr>
        <w:t xml:space="preserve">4.8.</w:t>
      </w:r>
      <w:r>
        <w:t xml:space="preserve"> </w:t>
      </w:r>
      <w:r>
        <w:t xml:space="preserve">Gamma-to-Sigma Ratio Image</w:t>
      </w:r>
    </w:p>
    <w:p>
      <w:pPr>
        <w:pStyle w:val="FirstParagraph"/>
      </w:pPr>
      <w:r>
        <w:t xml:space="preserve">Identifier:</w:t>
      </w:r>
      <w:r>
        <w:t xml:space="preserve"> </w:t>
      </w:r>
      <w:r>
        <w:rPr>
          <w:rStyle w:val="VerbatimChar"/>
        </w:rPr>
        <w:t xml:space="preserve">pxl-ppgmsg</w:t>
      </w:r>
    </w:p>
    <w:bookmarkStart w:id="184" w:name="threshold-requirements-37"/>
    <w:p>
      <w:pPr>
        <w:pStyle w:val="berschrift5"/>
      </w:pPr>
      <w:r>
        <w:t xml:space="preserve">Threshold requirements:</w:t>
      </w:r>
    </w:p>
    <w:p>
      <w:pPr>
        <w:pStyle w:val="FirstParagraph"/>
      </w:pPr>
      <w:r>
        <w:t xml:space="preserve">Not required.</w:t>
      </w:r>
      <w:r>
        <w:t xml:space="preserve"> </w:t>
      </w:r>
    </w:p>
    <w:bookmarkEnd w:id="184"/>
    <w:bookmarkStart w:id="185" w:name="goal-requirements-37"/>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61"/>
        </w:numPr>
      </w:pPr>
      <w:r>
        <w:t xml:space="preserve">Sample Type (Ratio)</w:t>
      </w:r>
    </w:p>
    <w:p>
      <w:pPr>
        <w:pStyle w:val="Compact"/>
        <w:numPr>
          <w:ilvl w:val="0"/>
          <w:numId w:val="1061"/>
        </w:numPr>
      </w:pPr>
      <w:r>
        <w:t xml:space="preserve">Data Format (GeoTIFF, HDF5, NetCDF, …)</w:t>
      </w:r>
    </w:p>
    <w:p>
      <w:pPr>
        <w:pStyle w:val="Compact"/>
        <w:numPr>
          <w:ilvl w:val="0"/>
          <w:numId w:val="1061"/>
        </w:numPr>
      </w:pPr>
      <w:r>
        <w:t xml:space="preserve">Data Type (Int, Float, …)</w:t>
      </w:r>
    </w:p>
    <w:p>
      <w:pPr>
        <w:pStyle w:val="Compact"/>
        <w:numPr>
          <w:ilvl w:val="0"/>
          <w:numId w:val="1061"/>
        </w:numPr>
      </w:pPr>
      <w:r>
        <w:t xml:space="preserve">Bits per Sample</w:t>
      </w:r>
    </w:p>
    <w:p>
      <w:pPr>
        <w:pStyle w:val="Compact"/>
        <w:numPr>
          <w:ilvl w:val="0"/>
          <w:numId w:val="1061"/>
        </w:numPr>
      </w:pPr>
      <w:r>
        <w:t xml:space="preserve">Byte Order</w:t>
      </w:r>
    </w:p>
    <w:bookmarkEnd w:id="185"/>
    <w:bookmarkStart w:id="186" w:name="assessment-37"/>
    <w:p>
      <w:pPr>
        <w:pStyle w:val="berschrift5"/>
      </w:pPr>
      <w:r>
        <w:t xml:space="preserve">Assessment:</w:t>
      </w:r>
    </w:p>
    <w:p>
      <w:pPr>
        <w:pStyle w:val="Compact"/>
        <w:numPr>
          <w:ilvl w:val="0"/>
          <w:numId w:val="1062"/>
        </w:numPr>
      </w:pPr>
      <w:r>
        <w:t xml:space="preserve">Threshold Self-Assessment:</w:t>
      </w:r>
    </w:p>
    <w:p>
      <w:pPr>
        <w:pStyle w:val="Compact"/>
        <w:numPr>
          <w:ilvl w:val="0"/>
          <w:numId w:val="1062"/>
        </w:numPr>
      </w:pPr>
      <w:r>
        <w:t xml:space="preserve">Goal Self-Assessment:</w:t>
      </w:r>
    </w:p>
    <w:p>
      <w:pPr>
        <w:pStyle w:val="Compact"/>
        <w:numPr>
          <w:ilvl w:val="0"/>
          <w:numId w:val="1062"/>
        </w:numPr>
      </w:pPr>
      <w:r>
        <w:t xml:space="preserve">Self-Assessment Explanation/ Justification:</w:t>
      </w:r>
    </w:p>
    <w:p>
      <w:pPr>
        <w:pStyle w:val="Compact"/>
        <w:numPr>
          <w:ilvl w:val="0"/>
          <w:numId w:val="1062"/>
        </w:numPr>
      </w:pPr>
      <w:r>
        <w:t xml:space="preserve">Recommended Requirement Modification:</w:t>
      </w:r>
    </w:p>
    <w:p>
      <w:r>
        <w:pict>
          <v:rect style="width:0;height:1.5pt" o:hralign="center" o:hrstd="t" o:hr="t"/>
        </w:pict>
      </w:r>
    </w:p>
    <w:bookmarkEnd w:id="186"/>
    <w:bookmarkEnd w:id="187"/>
    <w:bookmarkStart w:id="191" w:name="sec:pxl-ppacqd"/>
    <w:p>
      <w:pPr>
        <w:pStyle w:val="berschrift4"/>
      </w:pPr>
      <w:r>
        <w:rPr>
          <w:rStyle w:val="VerbatimChar"/>
        </w:rPr>
        <w:t xml:space="preserve">4.9.</w:t>
      </w:r>
      <w:r>
        <w:t xml:space="preserve"> </w:t>
      </w:r>
      <w:r>
        <w:t xml:space="preserve">Acquisition ID Image</w:t>
      </w:r>
    </w:p>
    <w:p>
      <w:pPr>
        <w:pStyle w:val="FirstParagraph"/>
      </w:pPr>
      <w:r>
        <w:t xml:space="preserve">Identifier:</w:t>
      </w:r>
      <w:r>
        <w:t xml:space="preserve"> </w:t>
      </w:r>
      <w:r>
        <w:rPr>
          <w:rStyle w:val="VerbatimChar"/>
        </w:rPr>
        <w:t xml:space="preserve">pxl-ppacqd</w:t>
      </w:r>
    </w:p>
    <w:bookmarkStart w:id="188" w:name="threshold-requirements-38"/>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acq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w:t>
      </w:r>
      <w:r>
        <w:t xml:space="preserve">“Day 0”</w:t>
      </w:r>
      <w:r>
        <w:t xml:space="preserve">)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3"/>
        </w:numPr>
      </w:pPr>
      <w:r>
        <w:t xml:space="preserve">Sample type (Day, Time, ID)</w:t>
      </w:r>
    </w:p>
    <w:p>
      <w:pPr>
        <w:pStyle w:val="Compact"/>
        <w:numPr>
          <w:ilvl w:val="0"/>
          <w:numId w:val="1063"/>
        </w:numPr>
      </w:pPr>
      <w:r>
        <w:t xml:space="preserve">Data Format (GeoTIFF, HDF5, NetCDF, …)</w:t>
      </w:r>
    </w:p>
    <w:p>
      <w:pPr>
        <w:pStyle w:val="Compact"/>
        <w:numPr>
          <w:ilvl w:val="0"/>
          <w:numId w:val="1063"/>
        </w:numPr>
      </w:pPr>
      <w:r>
        <w:t xml:space="preserve">Data Type (Int, Float, …)</w:t>
      </w:r>
    </w:p>
    <w:p>
      <w:pPr>
        <w:pStyle w:val="Compact"/>
        <w:numPr>
          <w:ilvl w:val="0"/>
          <w:numId w:val="1063"/>
        </w:numPr>
      </w:pPr>
      <w:r>
        <w:t xml:space="preserve">Bits per sample</w:t>
      </w:r>
    </w:p>
    <w:p>
      <w:pPr>
        <w:pStyle w:val="Compact"/>
        <w:numPr>
          <w:ilvl w:val="0"/>
          <w:numId w:val="1063"/>
        </w:numPr>
      </w:pPr>
      <w:r>
        <w:t xml:space="preserve">Byte Order</w:t>
      </w:r>
    </w:p>
    <w:bookmarkEnd w:id="188"/>
    <w:bookmarkStart w:id="189" w:name="goal-requirements-38"/>
    <w:p>
      <w:pPr>
        <w:pStyle w:val="berschrift5"/>
      </w:pPr>
      <w:r>
        <w:t xml:space="preserve">Goal requirements:</w:t>
      </w:r>
    </w:p>
    <w:p>
      <w:pPr>
        <w:pStyle w:val="FirstParagraph"/>
      </w:pPr>
      <w:r>
        <w:t xml:space="preserve">In case of image composites, the sources for each pixel are uniquely identified.</w:t>
      </w:r>
    </w:p>
    <w:bookmarkEnd w:id="189"/>
    <w:bookmarkStart w:id="190" w:name="assessment-38"/>
    <w:p>
      <w:pPr>
        <w:pStyle w:val="berschrift5"/>
      </w:pPr>
      <w:r>
        <w:t xml:space="preserve">Assessment:</w:t>
      </w:r>
    </w:p>
    <w:p>
      <w:pPr>
        <w:pStyle w:val="Compact"/>
        <w:numPr>
          <w:ilvl w:val="0"/>
          <w:numId w:val="1064"/>
        </w:numPr>
      </w:pPr>
      <w:r>
        <w:t xml:space="preserve">Threshold Self-Assessment:</w:t>
      </w:r>
    </w:p>
    <w:p>
      <w:pPr>
        <w:pStyle w:val="Compact"/>
        <w:numPr>
          <w:ilvl w:val="0"/>
          <w:numId w:val="1064"/>
        </w:numPr>
      </w:pPr>
      <w:r>
        <w:t xml:space="preserve">Goal Self-Assessment:</w:t>
      </w:r>
    </w:p>
    <w:p>
      <w:pPr>
        <w:pStyle w:val="Compact"/>
        <w:numPr>
          <w:ilvl w:val="0"/>
          <w:numId w:val="1064"/>
        </w:numPr>
      </w:pPr>
      <w:r>
        <w:t xml:space="preserve">Self-Assessment Explanation/ Justification:</w:t>
      </w:r>
    </w:p>
    <w:p>
      <w:pPr>
        <w:pStyle w:val="Compact"/>
        <w:numPr>
          <w:ilvl w:val="0"/>
          <w:numId w:val="1064"/>
        </w:numPr>
      </w:pPr>
      <w:r>
        <w:t xml:space="preserve">Recommended Requirement Modification:</w:t>
      </w:r>
    </w:p>
    <w:p>
      <w:r>
        <w:pict>
          <v:rect style="width:0;height:1.5pt" o:hralign="center" o:hrstd="t" o:hr="t"/>
        </w:pict>
      </w:r>
    </w:p>
    <w:bookmarkEnd w:id="190"/>
    <w:bookmarkEnd w:id="191"/>
    <w:bookmarkStart w:id="195" w:name="sec:pxl-ppdem"/>
    <w:p>
      <w:pPr>
        <w:pStyle w:val="berschrift4"/>
      </w:pPr>
      <w:r>
        <w:rPr>
          <w:rStyle w:val="VerbatimChar"/>
        </w:rPr>
        <w:t xml:space="preserve">4.10.</w:t>
      </w:r>
      <w:r>
        <w:t xml:space="preserve"> </w:t>
      </w:r>
      <w:r>
        <w:t xml:space="preserve">Per-Pixel DEM</w:t>
      </w:r>
    </w:p>
    <w:p>
      <w:pPr>
        <w:pStyle w:val="FirstParagraph"/>
      </w:pPr>
      <w:r>
        <w:t xml:space="preserve">Identifier:</w:t>
      </w:r>
      <w:r>
        <w:t xml:space="preserve"> </w:t>
      </w:r>
      <w:r>
        <w:rPr>
          <w:rStyle w:val="VerbatimChar"/>
        </w:rPr>
        <w:t xml:space="preserve">pxl-ppdem</w:t>
      </w:r>
    </w:p>
    <w:bookmarkStart w:id="192" w:name="threshold-requirements-39"/>
    <w:p>
      <w:pPr>
        <w:pStyle w:val="berschrift5"/>
      </w:pPr>
      <w:r>
        <w:t xml:space="preserve">Threshold requirements:</w:t>
      </w:r>
    </w:p>
    <w:p>
      <w:pPr>
        <w:pStyle w:val="FirstParagraph"/>
      </w:pPr>
      <w:r>
        <w:t xml:space="preserve">Not required.</w:t>
      </w:r>
      <w:r>
        <w:t xml:space="preserve"> </w:t>
      </w:r>
    </w:p>
    <w:bookmarkEnd w:id="192"/>
    <w:bookmarkStart w:id="193" w:name="goal-requirements-39"/>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Can also be provided with ORB products containing land areas.</w:t>
      </w:r>
    </w:p>
    <w:p>
      <w:pPr>
        <w:pStyle w:val="Textkrper"/>
      </w:pPr>
      <w:r>
        <w:t xml:space="preserve">File format specifications/contents provided in metadata:</w:t>
      </w:r>
    </w:p>
    <w:p>
      <w:pPr>
        <w:pStyle w:val="Compact"/>
        <w:numPr>
          <w:ilvl w:val="0"/>
          <w:numId w:val="1065"/>
        </w:numPr>
      </w:pPr>
      <w:r>
        <w:t xml:space="preserve">Sample Type (Height)</w:t>
      </w:r>
    </w:p>
    <w:p>
      <w:pPr>
        <w:pStyle w:val="Compact"/>
        <w:numPr>
          <w:ilvl w:val="0"/>
          <w:numId w:val="1065"/>
        </w:numPr>
      </w:pPr>
      <w:r>
        <w:t xml:space="preserve">Data Format (GeoTIFF, HDF5, NetCDF, …)</w:t>
      </w:r>
    </w:p>
    <w:p>
      <w:pPr>
        <w:pStyle w:val="Compact"/>
        <w:numPr>
          <w:ilvl w:val="0"/>
          <w:numId w:val="1065"/>
        </w:numPr>
      </w:pPr>
      <w:r>
        <w:t xml:space="preserve">Data Type (Int, Float, …)</w:t>
      </w:r>
    </w:p>
    <w:p>
      <w:pPr>
        <w:pStyle w:val="Compact"/>
        <w:numPr>
          <w:ilvl w:val="0"/>
          <w:numId w:val="1065"/>
        </w:numPr>
      </w:pPr>
      <w:r>
        <w:t xml:space="preserve">Bits per Sample</w:t>
      </w:r>
    </w:p>
    <w:p>
      <w:pPr>
        <w:pStyle w:val="Compact"/>
        <w:numPr>
          <w:ilvl w:val="0"/>
          <w:numId w:val="1065"/>
        </w:numPr>
      </w:pPr>
      <w:r>
        <w:t xml:space="preserve">Byte Order</w:t>
      </w:r>
    </w:p>
    <w:bookmarkEnd w:id="193"/>
    <w:bookmarkStart w:id="194" w:name="assessment-39"/>
    <w:p>
      <w:pPr>
        <w:pStyle w:val="berschrift5"/>
      </w:pPr>
      <w:r>
        <w:t xml:space="preserve">Assessment:</w:t>
      </w:r>
    </w:p>
    <w:p>
      <w:pPr>
        <w:pStyle w:val="Compact"/>
        <w:numPr>
          <w:ilvl w:val="0"/>
          <w:numId w:val="1066"/>
        </w:numPr>
      </w:pPr>
      <w:r>
        <w:t xml:space="preserve">Threshold Self-Assessment:</w:t>
      </w:r>
    </w:p>
    <w:p>
      <w:pPr>
        <w:pStyle w:val="Compact"/>
        <w:numPr>
          <w:ilvl w:val="0"/>
          <w:numId w:val="1066"/>
        </w:numPr>
      </w:pPr>
      <w:r>
        <w:t xml:space="preserve">Goal Self-Assessment:</w:t>
      </w:r>
    </w:p>
    <w:p>
      <w:pPr>
        <w:pStyle w:val="Compact"/>
        <w:numPr>
          <w:ilvl w:val="0"/>
          <w:numId w:val="1066"/>
        </w:numPr>
      </w:pPr>
      <w:r>
        <w:t xml:space="preserve">Self-Assessment Explanation/ Justification:</w:t>
      </w:r>
    </w:p>
    <w:p>
      <w:pPr>
        <w:pStyle w:val="Compact"/>
        <w:numPr>
          <w:ilvl w:val="0"/>
          <w:numId w:val="1066"/>
        </w:numPr>
      </w:pPr>
      <w:r>
        <w:t xml:space="preserve">Recommended Requirement Modification:</w:t>
      </w:r>
    </w:p>
    <w:p>
      <w:r>
        <w:pict>
          <v:rect style="width:0;height:1.5pt" o:hralign="center" o:hrstd="t" o:hr="t"/>
        </w:pict>
      </w:r>
    </w:p>
    <w:bookmarkEnd w:id="194"/>
    <w:bookmarkEnd w:id="195"/>
    <w:bookmarkStart w:id="199" w:name="sec:pxl-pprulv"/>
    <w:p>
      <w:pPr>
        <w:pStyle w:val="berschrift4"/>
      </w:pPr>
      <w:r>
        <w:rPr>
          <w:rStyle w:val="VerbatimChar"/>
        </w:rPr>
        <w:t xml:space="preserve">4.11.</w:t>
      </w:r>
      <w:r>
        <w:t xml:space="preserve"> </w:t>
      </w:r>
      <w:r>
        <w:t xml:space="preserve">Radar Unit Look Vector Grid Image</w:t>
      </w:r>
    </w:p>
    <w:p>
      <w:pPr>
        <w:pStyle w:val="FirstParagraph"/>
      </w:pPr>
      <w:r>
        <w:t xml:space="preserve">Identifier:</w:t>
      </w:r>
      <w:r>
        <w:t xml:space="preserve"> </w:t>
      </w:r>
      <w:r>
        <w:rPr>
          <w:rStyle w:val="VerbatimChar"/>
        </w:rPr>
        <w:t xml:space="preserve">pxl-pprulv</w:t>
      </w:r>
    </w:p>
    <w:bookmarkStart w:id="196" w:name="threshold-requirements-40"/>
    <w:p>
      <w:pPr>
        <w:pStyle w:val="berschrift5"/>
      </w:pPr>
      <w:r>
        <w:t xml:space="preserve">Threshold requirements:</w:t>
      </w:r>
    </w:p>
    <w:p>
      <w:pPr>
        <w:pStyle w:val="FirstParagraph"/>
      </w:pPr>
      <w:r>
        <w:t xml:space="preserve">Not required.</w:t>
      </w:r>
      <w:r>
        <w:t xml:space="preserve"> </w:t>
      </w:r>
    </w:p>
    <w:bookmarkEnd w:id="196"/>
    <w:bookmarkStart w:id="197" w:name="goal-requirements-40"/>
    <w:p>
      <w:pPr>
        <w:pStyle w:val="berschrift5"/>
      </w:pPr>
      <w:r>
        <w:t xml:space="preserve">Goal requirements:</w:t>
      </w:r>
    </w:p>
    <w:p>
      <w:pPr>
        <w:pStyle w:val="FirstParagraph"/>
      </w:pPr>
      <w:r>
        <w:t xml:space="preserve">3-D components radar unit look vector, specified at each pixel in an Earth-Centred Earth-Fixed (ECEF) coordinate system (also called Earth Centred Rotating – ECR) is provided.</w:t>
      </w:r>
      <w:r>
        <w:t xml:space="preserve"> </w:t>
      </w:r>
      <w:r>
        <w:t xml:space="preserve">It consists of unit vectors from the antenna to the surface pixel (i.e., positive Z component).</w:t>
      </w:r>
    </w:p>
    <w:p>
      <w:pPr>
        <w:pStyle w:val="Textkrper"/>
      </w:pPr>
      <w:r>
        <w:t xml:space="preserve">File format specifications/contents provided in metadata:</w:t>
      </w:r>
    </w:p>
    <w:p>
      <w:pPr>
        <w:pStyle w:val="Compact"/>
        <w:numPr>
          <w:ilvl w:val="0"/>
          <w:numId w:val="1067"/>
        </w:numPr>
      </w:pPr>
      <w:r>
        <w:t xml:space="preserve">Sample Type (3D unit vector)</w:t>
      </w:r>
    </w:p>
    <w:p>
      <w:pPr>
        <w:pStyle w:val="Compact"/>
        <w:numPr>
          <w:ilvl w:val="0"/>
          <w:numId w:val="1067"/>
        </w:numPr>
      </w:pPr>
      <w:r>
        <w:t xml:space="preserve">Data Format (GeoTIFF, HDF5, NetCDF, …)</w:t>
      </w:r>
    </w:p>
    <w:p>
      <w:pPr>
        <w:pStyle w:val="Compact"/>
        <w:numPr>
          <w:ilvl w:val="0"/>
          <w:numId w:val="1067"/>
        </w:numPr>
      </w:pPr>
      <w:r>
        <w:t xml:space="preserve">Data Type (Int, Float, …)</w:t>
      </w:r>
    </w:p>
    <w:p>
      <w:pPr>
        <w:pStyle w:val="Compact"/>
        <w:numPr>
          <w:ilvl w:val="0"/>
          <w:numId w:val="1067"/>
        </w:numPr>
      </w:pPr>
      <w:r>
        <w:t xml:space="preserve">Bits per Sample</w:t>
      </w:r>
    </w:p>
    <w:p>
      <w:pPr>
        <w:pStyle w:val="Compact"/>
        <w:numPr>
          <w:ilvl w:val="0"/>
          <w:numId w:val="1067"/>
        </w:numPr>
      </w:pPr>
      <w:r>
        <w:t xml:space="preserve">Byte Order</w:t>
      </w:r>
    </w:p>
    <w:bookmarkEnd w:id="197"/>
    <w:bookmarkStart w:id="198" w:name="assessment-40"/>
    <w:p>
      <w:pPr>
        <w:pStyle w:val="berschrift5"/>
      </w:pPr>
      <w:r>
        <w:t xml:space="preserve">Assessment:</w:t>
      </w:r>
    </w:p>
    <w:p>
      <w:pPr>
        <w:pStyle w:val="Compact"/>
        <w:numPr>
          <w:ilvl w:val="0"/>
          <w:numId w:val="1068"/>
        </w:numPr>
      </w:pPr>
      <w:r>
        <w:t xml:space="preserve">Threshold Self-Assessment:</w:t>
      </w:r>
    </w:p>
    <w:p>
      <w:pPr>
        <w:pStyle w:val="Compact"/>
        <w:numPr>
          <w:ilvl w:val="0"/>
          <w:numId w:val="1068"/>
        </w:numPr>
      </w:pPr>
      <w:r>
        <w:t xml:space="preserve">Goal Self-Assessment:</w:t>
      </w:r>
    </w:p>
    <w:p>
      <w:pPr>
        <w:pStyle w:val="Compact"/>
        <w:numPr>
          <w:ilvl w:val="0"/>
          <w:numId w:val="1068"/>
        </w:numPr>
      </w:pPr>
      <w:r>
        <w:t xml:space="preserve">Self-Assessment Explanation/ Justification:</w:t>
      </w:r>
    </w:p>
    <w:p>
      <w:pPr>
        <w:pStyle w:val="Compact"/>
        <w:numPr>
          <w:ilvl w:val="0"/>
          <w:numId w:val="1068"/>
        </w:numPr>
      </w:pPr>
      <w:r>
        <w:t xml:space="preserve">Recommended Requirement Modification:</w:t>
      </w:r>
    </w:p>
    <w:p>
      <w:r>
        <w:pict>
          <v:rect style="width:0;height:1.5pt" o:hralign="center" o:hrstd="t" o:hr="t"/>
        </w:pict>
      </w:r>
    </w:p>
    <w:bookmarkEnd w:id="198"/>
    <w:bookmarkEnd w:id="199"/>
    <w:bookmarkStart w:id="203" w:name="sec:pxl-ppslrg"/>
    <w:p>
      <w:pPr>
        <w:pStyle w:val="berschrift4"/>
      </w:pPr>
      <w:r>
        <w:rPr>
          <w:rStyle w:val="VerbatimChar"/>
        </w:rPr>
        <w:t xml:space="preserve">4.12.</w:t>
      </w:r>
      <w:r>
        <w:t xml:space="preserve"> </w:t>
      </w:r>
      <w:r>
        <w:t xml:space="preserve">Slant Range Sensor to Surface Image</w:t>
      </w:r>
    </w:p>
    <w:p>
      <w:pPr>
        <w:pStyle w:val="FirstParagraph"/>
      </w:pPr>
      <w:r>
        <w:t xml:space="preserve">Identifier:</w:t>
      </w:r>
      <w:r>
        <w:t xml:space="preserve"> </w:t>
      </w:r>
      <w:r>
        <w:rPr>
          <w:rStyle w:val="VerbatimChar"/>
        </w:rPr>
        <w:t xml:space="preserve">pxl-ppslrg</w:t>
      </w:r>
    </w:p>
    <w:bookmarkStart w:id="200" w:name="threshold-requirements-41"/>
    <w:p>
      <w:pPr>
        <w:pStyle w:val="berschrift5"/>
      </w:pPr>
      <w:r>
        <w:t xml:space="preserve">Threshold requirements:</w:t>
      </w:r>
    </w:p>
    <w:p>
      <w:pPr>
        <w:pStyle w:val="FirstParagraph"/>
      </w:pPr>
      <w:r>
        <w:t xml:space="preserve">Not required.</w:t>
      </w:r>
      <w:r>
        <w:t xml:space="preserve"> </w:t>
      </w:r>
    </w:p>
    <w:bookmarkEnd w:id="200"/>
    <w:bookmarkStart w:id="201" w:name="goal-requirements-41"/>
    <w:p>
      <w:pPr>
        <w:pStyle w:val="berschrift5"/>
      </w:pPr>
      <w:r>
        <w:t xml:space="preserve">Goal requirements:</w:t>
      </w:r>
    </w:p>
    <w:p>
      <w:pPr>
        <w:pStyle w:val="FirstParagraph"/>
      </w:pPr>
      <w:r>
        <w:t xml:space="preserve">Slant range distance from the sensor to the surface, specified at each pixel in an Earth-Centred Earth-Fixed (ECEF) coordinate system (also called Earth Centred Rotating – ECR) is provided.</w:t>
      </w:r>
    </w:p>
    <w:p>
      <w:pPr>
        <w:pStyle w:val="Textkrper"/>
      </w:pPr>
      <w:r>
        <w:t xml:space="preserve">File format specifications/contents provided in metadata:</w:t>
      </w:r>
    </w:p>
    <w:p>
      <w:pPr>
        <w:pStyle w:val="Compact"/>
        <w:numPr>
          <w:ilvl w:val="0"/>
          <w:numId w:val="1069"/>
        </w:numPr>
      </w:pPr>
      <w:r>
        <w:t xml:space="preserve">Sample Type (Distance)</w:t>
      </w:r>
    </w:p>
    <w:p>
      <w:pPr>
        <w:pStyle w:val="Compact"/>
        <w:numPr>
          <w:ilvl w:val="0"/>
          <w:numId w:val="1069"/>
        </w:numPr>
      </w:pPr>
      <w:r>
        <w:t xml:space="preserve">Data Format (GeoTIFF, HDF5, NetCDF, …)</w:t>
      </w:r>
    </w:p>
    <w:p>
      <w:pPr>
        <w:pStyle w:val="Compact"/>
        <w:numPr>
          <w:ilvl w:val="0"/>
          <w:numId w:val="1069"/>
        </w:numPr>
      </w:pPr>
      <w:r>
        <w:t xml:space="preserve">Data Type (Int, Float, …)</w:t>
      </w:r>
    </w:p>
    <w:p>
      <w:pPr>
        <w:pStyle w:val="Compact"/>
        <w:numPr>
          <w:ilvl w:val="0"/>
          <w:numId w:val="1069"/>
        </w:numPr>
      </w:pPr>
      <w:r>
        <w:t xml:space="preserve">Bits per Sample</w:t>
      </w:r>
    </w:p>
    <w:p>
      <w:pPr>
        <w:pStyle w:val="Compact"/>
        <w:numPr>
          <w:ilvl w:val="0"/>
          <w:numId w:val="1069"/>
        </w:numPr>
      </w:pPr>
      <w:r>
        <w:t xml:space="preserve">Byte Order</w:t>
      </w:r>
    </w:p>
    <w:bookmarkEnd w:id="201"/>
    <w:bookmarkStart w:id="202" w:name="assessment-41"/>
    <w:p>
      <w:pPr>
        <w:pStyle w:val="berschrift5"/>
      </w:pPr>
      <w:r>
        <w:t xml:space="preserve">Assessment:</w:t>
      </w:r>
    </w:p>
    <w:p>
      <w:pPr>
        <w:pStyle w:val="Compact"/>
        <w:numPr>
          <w:ilvl w:val="0"/>
          <w:numId w:val="1070"/>
        </w:numPr>
      </w:pPr>
      <w:r>
        <w:t xml:space="preserve">Threshold Self-Assessment:</w:t>
      </w:r>
    </w:p>
    <w:p>
      <w:pPr>
        <w:pStyle w:val="Compact"/>
        <w:numPr>
          <w:ilvl w:val="0"/>
          <w:numId w:val="1070"/>
        </w:numPr>
      </w:pPr>
      <w:r>
        <w:t xml:space="preserve">Goal Self-Assessment:</w:t>
      </w:r>
    </w:p>
    <w:p>
      <w:pPr>
        <w:pStyle w:val="Compact"/>
        <w:numPr>
          <w:ilvl w:val="0"/>
          <w:numId w:val="1070"/>
        </w:numPr>
      </w:pPr>
      <w:r>
        <w:t xml:space="preserve">Self-Assessment Explanation/ Justification:</w:t>
      </w:r>
    </w:p>
    <w:p>
      <w:pPr>
        <w:pStyle w:val="Compact"/>
        <w:numPr>
          <w:ilvl w:val="0"/>
          <w:numId w:val="1070"/>
        </w:numPr>
      </w:pPr>
      <w:r>
        <w:t xml:space="preserve">Recommended Requirement Modification:</w:t>
      </w:r>
    </w:p>
    <w:p>
      <w:r>
        <w:pict>
          <v:rect style="width:0;height:1.5pt" o:hralign="center" o:hrstd="t" o:hr="t"/>
        </w:pict>
      </w:r>
    </w:p>
    <w:bookmarkEnd w:id="202"/>
    <w:bookmarkEnd w:id="203"/>
    <w:bookmarkStart w:id="207" w:name="sec:pxl-ppiphu"/>
    <w:p>
      <w:pPr>
        <w:pStyle w:val="berschrift4"/>
      </w:pPr>
      <w:r>
        <w:rPr>
          <w:rStyle w:val="VerbatimChar"/>
        </w:rPr>
        <w:t xml:space="preserve">4.13.</w:t>
      </w:r>
      <w:r>
        <w:t xml:space="preserve"> </w:t>
      </w:r>
      <w:r>
        <w:t xml:space="preserve">InSAR Phase Uncertainty Image</w:t>
      </w:r>
    </w:p>
    <w:p>
      <w:pPr>
        <w:pStyle w:val="FirstParagraph"/>
      </w:pPr>
      <w:r>
        <w:t xml:space="preserve">Identifier:</w:t>
      </w:r>
      <w:r>
        <w:t xml:space="preserve"> </w:t>
      </w:r>
      <w:r>
        <w:rPr>
          <w:rStyle w:val="VerbatimChar"/>
        </w:rPr>
        <w:t xml:space="preserve">pxl-ppiphu</w:t>
      </w:r>
    </w:p>
    <w:bookmarkStart w:id="204" w:name="threshold-requirements-42"/>
    <w:p>
      <w:pPr>
        <w:pStyle w:val="berschrift5"/>
      </w:pPr>
      <w:r>
        <w:t xml:space="preserve">Threshold requirements:</w:t>
      </w:r>
    </w:p>
    <w:p>
      <w:pPr>
        <w:pStyle w:val="FirstParagraph"/>
      </w:pPr>
      <w:r>
        <w:t xml:space="preserve">Not required.</w:t>
      </w:r>
      <w:r>
        <w:t xml:space="preserve"> </w:t>
      </w:r>
    </w:p>
    <w:bookmarkEnd w:id="204"/>
    <w:bookmarkStart w:id="205" w:name="goal-requirements-42"/>
    <w:p>
      <w:pPr>
        <w:pStyle w:val="berschrift5"/>
      </w:pPr>
      <w:r>
        <w:t xml:space="preserve">Goal requirements:</w:t>
      </w:r>
    </w:p>
    <w:p>
      <w:pPr>
        <w:pStyle w:val="FirstParagraph"/>
      </w:pPr>
      <w:r>
        <w:t xml:space="preserve">Estimate of uncertainty in InSAR phase is provided, such as finite signal to noise ratio, quantization noise, or DEM error.</w:t>
      </w:r>
      <w:r>
        <w:t xml:space="preserve"> </w:t>
      </w:r>
      <w:r>
        <w:t xml:space="preserve">Identification of which error sources are included will be provided as DOI/URL reference or brief description.</w:t>
      </w:r>
      <w:r>
        <w:t xml:space="preserve"> </w:t>
      </w:r>
      <w:r>
        <w:t xml:space="preserve">It represents statistical variation from known noise sources only.</w:t>
      </w:r>
    </w:p>
    <w:p>
      <w:pPr>
        <w:pStyle w:val="Textkrper"/>
      </w:pPr>
      <w:r>
        <w:t xml:space="preserve">File format specifications/contents provided in metadata:</w:t>
      </w:r>
    </w:p>
    <w:p>
      <w:pPr>
        <w:pStyle w:val="Compact"/>
        <w:numPr>
          <w:ilvl w:val="0"/>
          <w:numId w:val="1071"/>
        </w:numPr>
      </w:pPr>
      <w:r>
        <w:t xml:space="preserve">Sample Type (Angle)</w:t>
      </w:r>
    </w:p>
    <w:p>
      <w:pPr>
        <w:pStyle w:val="Compact"/>
        <w:numPr>
          <w:ilvl w:val="0"/>
          <w:numId w:val="1071"/>
        </w:numPr>
      </w:pPr>
      <w:r>
        <w:t xml:space="preserve">Data Format (GeoTIFF, HDF5, NetCDF, …)</w:t>
      </w:r>
    </w:p>
    <w:p>
      <w:pPr>
        <w:pStyle w:val="Compact"/>
        <w:numPr>
          <w:ilvl w:val="0"/>
          <w:numId w:val="1071"/>
        </w:numPr>
      </w:pPr>
      <w:r>
        <w:t xml:space="preserve">Data Type (Int, Float, …)</w:t>
      </w:r>
    </w:p>
    <w:p>
      <w:pPr>
        <w:pStyle w:val="Compact"/>
        <w:numPr>
          <w:ilvl w:val="0"/>
          <w:numId w:val="1071"/>
        </w:numPr>
      </w:pPr>
      <w:r>
        <w:t xml:space="preserve">Bits per Sample</w:t>
      </w:r>
    </w:p>
    <w:p>
      <w:pPr>
        <w:pStyle w:val="Compact"/>
        <w:numPr>
          <w:ilvl w:val="0"/>
          <w:numId w:val="1071"/>
        </w:numPr>
      </w:pPr>
      <w:r>
        <w:t xml:space="preserve">Byte Order</w:t>
      </w:r>
    </w:p>
    <w:bookmarkEnd w:id="205"/>
    <w:bookmarkStart w:id="206" w:name="assessment-42"/>
    <w:p>
      <w:pPr>
        <w:pStyle w:val="berschrift5"/>
      </w:pPr>
      <w:r>
        <w:t xml:space="preserve">Assessment:</w:t>
      </w:r>
    </w:p>
    <w:p>
      <w:pPr>
        <w:pStyle w:val="Compact"/>
        <w:numPr>
          <w:ilvl w:val="0"/>
          <w:numId w:val="1072"/>
        </w:numPr>
      </w:pPr>
      <w:r>
        <w:t xml:space="preserve">Threshold Self-Assessment:</w:t>
      </w:r>
    </w:p>
    <w:p>
      <w:pPr>
        <w:pStyle w:val="Compact"/>
        <w:numPr>
          <w:ilvl w:val="0"/>
          <w:numId w:val="1072"/>
        </w:numPr>
      </w:pPr>
      <w:r>
        <w:t xml:space="preserve">Goal Self-Assessment:</w:t>
      </w:r>
    </w:p>
    <w:p>
      <w:pPr>
        <w:pStyle w:val="Compact"/>
        <w:numPr>
          <w:ilvl w:val="0"/>
          <w:numId w:val="1072"/>
        </w:numPr>
      </w:pPr>
      <w:r>
        <w:t xml:space="preserve">Self-Assessment Explanation/ Justification:</w:t>
      </w:r>
    </w:p>
    <w:p>
      <w:pPr>
        <w:pStyle w:val="Compact"/>
        <w:numPr>
          <w:ilvl w:val="0"/>
          <w:numId w:val="1072"/>
        </w:numPr>
      </w:pPr>
      <w:r>
        <w:t xml:space="preserve">Recommended Requirement Modification:</w:t>
      </w:r>
    </w:p>
    <w:p>
      <w:r>
        <w:pict>
          <v:rect style="width:0;height:1.5pt" o:hralign="center" o:hrstd="t" o:hr="t"/>
        </w:pict>
      </w:r>
    </w:p>
    <w:bookmarkEnd w:id="206"/>
    <w:bookmarkEnd w:id="207"/>
    <w:bookmarkStart w:id="211" w:name="sec:pxl-ppatpc"/>
    <w:p>
      <w:pPr>
        <w:pStyle w:val="berschrift4"/>
      </w:pPr>
      <w:r>
        <w:rPr>
          <w:rStyle w:val="VerbatimChar"/>
        </w:rPr>
        <w:t xml:space="preserve">4.14.</w:t>
      </w:r>
      <w:r>
        <w:t xml:space="preserve"> </w:t>
      </w:r>
      <w:r>
        <w:t xml:space="preserve">Atmospheric Phase Correction Image</w:t>
      </w:r>
    </w:p>
    <w:p>
      <w:pPr>
        <w:pStyle w:val="FirstParagraph"/>
      </w:pPr>
      <w:r>
        <w:t xml:space="preserve">Identifier:</w:t>
      </w:r>
      <w:r>
        <w:t xml:space="preserve"> </w:t>
      </w:r>
      <w:r>
        <w:rPr>
          <w:rStyle w:val="VerbatimChar"/>
        </w:rPr>
        <w:t xml:space="preserve">pxl-ppatpc</w:t>
      </w:r>
    </w:p>
    <w:bookmarkStart w:id="208" w:name="threshold-requirements-43"/>
    <w:p>
      <w:pPr>
        <w:pStyle w:val="berschrift5"/>
      </w:pPr>
      <w:r>
        <w:t xml:space="preserve">Threshold requirements:</w:t>
      </w:r>
    </w:p>
    <w:p>
      <w:pPr>
        <w:pStyle w:val="FirstParagraph"/>
      </w:pPr>
      <w:r>
        <w:t xml:space="preserve">Not required.</w:t>
      </w:r>
      <w:r>
        <w:t xml:space="preserve"> </w:t>
      </w:r>
    </w:p>
    <w:bookmarkEnd w:id="208"/>
    <w:bookmarkStart w:id="209" w:name="goal-requirements-43"/>
    <w:p>
      <w:pPr>
        <w:pStyle w:val="berschrift5"/>
      </w:pPr>
      <w:r>
        <w:t xml:space="preserve">Goal requirements:</w:t>
      </w:r>
    </w:p>
    <w:p>
      <w:pPr>
        <w:pStyle w:val="FirstParagraph"/>
      </w:pPr>
      <w:r>
        <w:t xml:space="preserve">Phase correction value at each pixel, if applied.</w:t>
      </w:r>
      <w:r>
        <w:t xml:space="preserve"> </w:t>
      </w:r>
      <w:r>
        <w:t xml:space="preserve">DOI/URL reference to algorithm or brief description is provided.</w:t>
      </w:r>
    </w:p>
    <w:p>
      <w:pPr>
        <w:pStyle w:val="Textkrper"/>
      </w:pPr>
      <w:r>
        <w:t xml:space="preserve">File format specifications/contents provided in metadata:</w:t>
      </w:r>
    </w:p>
    <w:p>
      <w:pPr>
        <w:pStyle w:val="Compact"/>
        <w:numPr>
          <w:ilvl w:val="0"/>
          <w:numId w:val="1073"/>
        </w:numPr>
      </w:pPr>
      <w:r>
        <w:t xml:space="preserve">Sample Type (Angle)</w:t>
      </w:r>
    </w:p>
    <w:p>
      <w:pPr>
        <w:pStyle w:val="Compact"/>
        <w:numPr>
          <w:ilvl w:val="0"/>
          <w:numId w:val="1073"/>
        </w:numPr>
      </w:pPr>
      <w:r>
        <w:t xml:space="preserve">Data Format (GeoTIFF, HDF5, NetCDF, …)</w:t>
      </w:r>
    </w:p>
    <w:p>
      <w:pPr>
        <w:pStyle w:val="Compact"/>
        <w:numPr>
          <w:ilvl w:val="0"/>
          <w:numId w:val="1073"/>
        </w:numPr>
      </w:pPr>
      <w:r>
        <w:t xml:space="preserve">Data Type (Int, Float, …)</w:t>
      </w:r>
    </w:p>
    <w:p>
      <w:pPr>
        <w:pStyle w:val="Compact"/>
        <w:numPr>
          <w:ilvl w:val="0"/>
          <w:numId w:val="1073"/>
        </w:numPr>
      </w:pPr>
      <w:r>
        <w:t xml:space="preserve">Bits per Sample</w:t>
      </w:r>
    </w:p>
    <w:p>
      <w:pPr>
        <w:pStyle w:val="Compact"/>
        <w:numPr>
          <w:ilvl w:val="0"/>
          <w:numId w:val="1073"/>
        </w:numPr>
      </w:pPr>
      <w:r>
        <w:t xml:space="preserve">Byte Order</w:t>
      </w:r>
    </w:p>
    <w:bookmarkEnd w:id="209"/>
    <w:bookmarkStart w:id="210" w:name="assessment-43"/>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p>
      <w:r>
        <w:pict>
          <v:rect style="width:0;height:1.5pt" o:hralign="center" o:hrstd="t" o:hr="t"/>
        </w:pict>
      </w:r>
    </w:p>
    <w:bookmarkEnd w:id="210"/>
    <w:bookmarkEnd w:id="211"/>
    <w:bookmarkStart w:id="215" w:name="sec:pxl-ppionc"/>
    <w:p>
      <w:pPr>
        <w:pStyle w:val="berschrift4"/>
      </w:pPr>
      <w:r>
        <w:rPr>
          <w:rStyle w:val="VerbatimChar"/>
        </w:rPr>
        <w:t xml:space="preserve">4.15.</w:t>
      </w:r>
      <w:r>
        <w:t xml:space="preserve"> </w:t>
      </w:r>
      <w:r>
        <w:t xml:space="preserve">Ionospheric Phase Correction Image</w:t>
      </w:r>
    </w:p>
    <w:p>
      <w:pPr>
        <w:pStyle w:val="FirstParagraph"/>
      </w:pPr>
      <w:r>
        <w:t xml:space="preserve">Identifier:</w:t>
      </w:r>
      <w:r>
        <w:t xml:space="preserve"> </w:t>
      </w:r>
      <w:r>
        <w:rPr>
          <w:rStyle w:val="VerbatimChar"/>
        </w:rPr>
        <w:t xml:space="preserve">pxl-ppionc</w:t>
      </w:r>
    </w:p>
    <w:bookmarkStart w:id="212" w:name="threshold-requirements-44"/>
    <w:p>
      <w:pPr>
        <w:pStyle w:val="berschrift5"/>
      </w:pPr>
      <w:r>
        <w:t xml:space="preserve">Threshold requirements:</w:t>
      </w:r>
    </w:p>
    <w:p>
      <w:pPr>
        <w:pStyle w:val="FirstParagraph"/>
      </w:pPr>
      <w:r>
        <w:t xml:space="preserve">Not required.</w:t>
      </w:r>
      <w:r>
        <w:t xml:space="preserve"> </w:t>
      </w:r>
    </w:p>
    <w:bookmarkEnd w:id="212"/>
    <w:bookmarkStart w:id="213" w:name="goal-requirements-44"/>
    <w:p>
      <w:pPr>
        <w:pStyle w:val="berschrift5"/>
      </w:pPr>
      <w:r>
        <w:t xml:space="preserve">Goal requirements:</w:t>
      </w:r>
    </w:p>
    <w:p>
      <w:pPr>
        <w:pStyle w:val="FirstParagraph"/>
      </w:pPr>
      <w:r>
        <w:t xml:space="preserve">Phase correction value at each pixel, if applied.</w:t>
      </w:r>
      <w:r>
        <w:t xml:space="preserve"> </w:t>
      </w:r>
      <w:r>
        <w:t xml:space="preserve">DOI/URL reference to algorithm or brief description is provided.</w:t>
      </w:r>
    </w:p>
    <w:p>
      <w:pPr>
        <w:pStyle w:val="Textkrper"/>
      </w:pPr>
      <w:r>
        <w:t xml:space="preserve">File format specifications/contents provided in metadata:</w:t>
      </w:r>
    </w:p>
    <w:p>
      <w:pPr>
        <w:pStyle w:val="Compact"/>
        <w:numPr>
          <w:ilvl w:val="0"/>
          <w:numId w:val="1075"/>
        </w:numPr>
      </w:pPr>
      <w:r>
        <w:t xml:space="preserve">Sample Type (Angle)</w:t>
      </w:r>
    </w:p>
    <w:p>
      <w:pPr>
        <w:pStyle w:val="Compact"/>
        <w:numPr>
          <w:ilvl w:val="0"/>
          <w:numId w:val="1075"/>
        </w:numPr>
      </w:pPr>
      <w:r>
        <w:t xml:space="preserve">Data Format (GeoTIFF, HDF5, NetCDF, …)</w:t>
      </w:r>
    </w:p>
    <w:p>
      <w:pPr>
        <w:pStyle w:val="Compact"/>
        <w:numPr>
          <w:ilvl w:val="0"/>
          <w:numId w:val="1075"/>
        </w:numPr>
      </w:pPr>
      <w:r>
        <w:t xml:space="preserve">Data Type (Int, Float, …)</w:t>
      </w:r>
    </w:p>
    <w:p>
      <w:pPr>
        <w:pStyle w:val="Compact"/>
        <w:numPr>
          <w:ilvl w:val="0"/>
          <w:numId w:val="1075"/>
        </w:numPr>
      </w:pPr>
      <w:r>
        <w:t xml:space="preserve">Bits per Sample</w:t>
      </w:r>
    </w:p>
    <w:p>
      <w:pPr>
        <w:pStyle w:val="Compact"/>
        <w:numPr>
          <w:ilvl w:val="0"/>
          <w:numId w:val="1075"/>
        </w:numPr>
      </w:pPr>
      <w:r>
        <w:t xml:space="preserve">Byte Order</w:t>
      </w:r>
    </w:p>
    <w:bookmarkEnd w:id="213"/>
    <w:bookmarkStart w:id="214" w:name="assessment-44"/>
    <w:p>
      <w:pPr>
        <w:pStyle w:val="berschrift5"/>
      </w:pPr>
      <w:r>
        <w:t xml:space="preserve">Assessment:</w:t>
      </w:r>
    </w:p>
    <w:p>
      <w:pPr>
        <w:pStyle w:val="Compact"/>
        <w:numPr>
          <w:ilvl w:val="0"/>
          <w:numId w:val="1076"/>
        </w:numPr>
      </w:pPr>
      <w:r>
        <w:t xml:space="preserve">Threshold Self-Assessment:</w:t>
      </w:r>
    </w:p>
    <w:p>
      <w:pPr>
        <w:pStyle w:val="Compact"/>
        <w:numPr>
          <w:ilvl w:val="0"/>
          <w:numId w:val="1076"/>
        </w:numPr>
      </w:pPr>
      <w:r>
        <w:t xml:space="preserve">Goal Self-Assessment:</w:t>
      </w:r>
    </w:p>
    <w:p>
      <w:pPr>
        <w:pStyle w:val="Compact"/>
        <w:numPr>
          <w:ilvl w:val="0"/>
          <w:numId w:val="1076"/>
        </w:numPr>
      </w:pPr>
      <w:r>
        <w:t xml:space="preserve">Self-Assessment Explanation/ Justification:</w:t>
      </w:r>
    </w:p>
    <w:p>
      <w:pPr>
        <w:pStyle w:val="Compact"/>
        <w:numPr>
          <w:ilvl w:val="0"/>
          <w:numId w:val="1076"/>
        </w:numPr>
      </w:pPr>
      <w:r>
        <w:t xml:space="preserve">Recommended Requirement Modification:</w:t>
      </w:r>
    </w:p>
    <w:bookmarkEnd w:id="214"/>
    <w:bookmarkEnd w:id="215"/>
    <w:bookmarkEnd w:id="216"/>
    <w:bookmarkStart w:id="241"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20" w:name="sec:rcm-cldopt"/>
    <w:p>
      <w:pPr>
        <w:pStyle w:val="berschrift4"/>
      </w:pPr>
      <w:r>
        <w:rPr>
          <w:rStyle w:val="VerbatimChar"/>
        </w:rPr>
        <w:t xml:space="preserve">5.1.</w:t>
      </w:r>
      <w:r>
        <w:t xml:space="preserve"> </w:t>
      </w:r>
      <w:r>
        <w:t xml:space="preserve">Cloud Optimized Formats</w:t>
      </w:r>
    </w:p>
    <w:p>
      <w:pPr>
        <w:pStyle w:val="FirstParagraph"/>
      </w:pPr>
      <w:r>
        <w:t xml:space="preserve">Identifier:</w:t>
      </w:r>
      <w:r>
        <w:t xml:space="preserve"> </w:t>
      </w:r>
      <w:r>
        <w:rPr>
          <w:rStyle w:val="VerbatimChar"/>
        </w:rPr>
        <w:t xml:space="preserve">rcm-cldopt</w:t>
      </w:r>
    </w:p>
    <w:bookmarkStart w:id="217" w:name="threshold-requirements-45"/>
    <w:p>
      <w:pPr>
        <w:pStyle w:val="berschrift5"/>
      </w:pPr>
      <w:r>
        <w:t xml:space="preserve">Threshold requirements:</w:t>
      </w:r>
    </w:p>
    <w:p>
      <w:pPr>
        <w:pStyle w:val="FirstParagraph"/>
      </w:pPr>
      <w:r>
        <w:t xml:space="preserve">Not required.</w:t>
      </w:r>
      <w:r>
        <w:t xml:space="preserve"> </w:t>
      </w:r>
    </w:p>
    <w:bookmarkEnd w:id="217"/>
    <w:bookmarkStart w:id="218" w:name="goal-requirements-45"/>
    <w:p>
      <w:pPr>
        <w:pStyle w:val="berschrift5"/>
      </w:pPr>
      <w:r>
        <w:t xml:space="preserve">Goal requirements:</w:t>
      </w:r>
    </w:p>
    <w:p>
      <w:pPr>
        <w:pStyle w:val="FirstParagraph"/>
      </w:pPr>
      <w:r>
        <w:t xml:space="preserve">All files are provided using cloud-optimized file formats.</w:t>
      </w:r>
    </w:p>
    <w:bookmarkEnd w:id="218"/>
    <w:bookmarkStart w:id="219" w:name="assessment-45"/>
    <w:p>
      <w:pPr>
        <w:pStyle w:val="berschrift5"/>
      </w:pPr>
      <w:r>
        <w:t xml:space="preserve">Assessment:</w:t>
      </w:r>
    </w:p>
    <w:p>
      <w:pPr>
        <w:pStyle w:val="Compact"/>
        <w:numPr>
          <w:ilvl w:val="0"/>
          <w:numId w:val="1077"/>
        </w:numPr>
      </w:pPr>
      <w:r>
        <w:t xml:space="preserve">Threshold Self-Assessment:</w:t>
      </w:r>
    </w:p>
    <w:p>
      <w:pPr>
        <w:pStyle w:val="Compact"/>
        <w:numPr>
          <w:ilvl w:val="0"/>
          <w:numId w:val="1077"/>
        </w:numPr>
      </w:pPr>
      <w:r>
        <w:t xml:space="preserve">Goal Self-Assessment:</w:t>
      </w:r>
    </w:p>
    <w:p>
      <w:pPr>
        <w:pStyle w:val="Compact"/>
        <w:numPr>
          <w:ilvl w:val="0"/>
          <w:numId w:val="1077"/>
        </w:numPr>
      </w:pPr>
      <w:r>
        <w:t xml:space="preserve">Self-Assessment Explanation/ Justification:</w:t>
      </w:r>
    </w:p>
    <w:p>
      <w:pPr>
        <w:pStyle w:val="Compact"/>
        <w:numPr>
          <w:ilvl w:val="0"/>
          <w:numId w:val="1077"/>
        </w:numPr>
      </w:pPr>
      <w:r>
        <w:t xml:space="preserve">Recommended Requirement Modification:</w:t>
      </w:r>
    </w:p>
    <w:p>
      <w:r>
        <w:pict>
          <v:rect style="width:0;height:1.5pt" o:hralign="center" o:hrstd="t" o:hr="t"/>
        </w:pict>
      </w:r>
    </w:p>
    <w:bookmarkEnd w:id="219"/>
    <w:bookmarkEnd w:id="220"/>
    <w:bookmarkStart w:id="224" w:name="sec:rcm-bsgslc"/>
    <w:p>
      <w:pPr>
        <w:pStyle w:val="berschrift4"/>
      </w:pPr>
      <w:r>
        <w:rPr>
          <w:rStyle w:val="VerbatimChar"/>
        </w:rPr>
        <w:t xml:space="preserve">5.2.</w:t>
      </w:r>
      <w:r>
        <w:t xml:space="preserve"> </w:t>
      </w:r>
      <w:r>
        <w:t xml:space="preserve">Backscatter Measurements (GSLC)</w:t>
      </w:r>
    </w:p>
    <w:p>
      <w:pPr>
        <w:pStyle w:val="FirstParagraph"/>
      </w:pPr>
      <w:r>
        <w:t xml:space="preserve">Identifier:</w:t>
      </w:r>
      <w:r>
        <w:t xml:space="preserve"> </w:t>
      </w:r>
      <w:r>
        <w:rPr>
          <w:rStyle w:val="VerbatimChar"/>
        </w:rPr>
        <w:t xml:space="preserve">rcm-bsgslc</w:t>
      </w:r>
    </w:p>
    <w:bookmarkStart w:id="221" w:name="threshold-requirements-46"/>
    <w:p>
      <w:pPr>
        <w:pStyle w:val="berschrift5"/>
      </w:pPr>
      <w:r>
        <w:t xml:space="preserve">Threshold requirements:</w:t>
      </w:r>
    </w:p>
    <w:p>
      <w:pPr>
        <w:pStyle w:val="FirstParagraph"/>
      </w:pPr>
      <w:r>
        <w:t xml:space="preserve">Radiometric and Phase Terrain-flattened Gamma-Nought backscatter coefficient (</w:t>
      </w:r>
      <m:oMath>
        <m:sSubSup>
          <m:e>
            <m:r>
              <m:t>γ</m:t>
            </m:r>
          </m:e>
          <m:sub>
            <m:r>
              <m:t>T</m:t>
            </m:r>
          </m:sub>
          <m:sup>
            <m:r>
              <m:t>0</m:t>
            </m:r>
          </m:sup>
        </m:sSubSup>
      </m:oMath>
      <w:r>
        <w:t xml:space="preserve">), in complex number format, is provided for each polarization (e.g., HH, HV, VV, VH).</w:t>
      </w:r>
    </w:p>
    <w:p>
      <w:pPr>
        <w:pStyle w:val="Textkrper"/>
      </w:pPr>
      <w:r>
        <w:t xml:space="preserve">File format specifications/contents provided in metadata:</w:t>
      </w:r>
    </w:p>
    <w:p>
      <w:pPr>
        <w:pStyle w:val="Compact"/>
        <w:numPr>
          <w:ilvl w:val="0"/>
          <w:numId w:val="1078"/>
        </w:numPr>
      </w:pPr>
      <w:r>
        <w:t xml:space="preserve">Measurement Type (Gamma-Nought)</w:t>
      </w:r>
    </w:p>
    <w:p>
      <w:pPr>
        <w:pStyle w:val="Compact"/>
        <w:numPr>
          <w:ilvl w:val="0"/>
          <w:numId w:val="1078"/>
        </w:numPr>
      </w:pPr>
      <w:r>
        <w:t xml:space="preserve">Backscatter Expression Convention (linear amplitude, linear power*)</w:t>
      </w:r>
    </w:p>
    <w:p>
      <w:pPr>
        <w:pStyle w:val="Compact"/>
        <w:numPr>
          <w:ilvl w:val="0"/>
          <w:numId w:val="1078"/>
        </w:numPr>
      </w:pPr>
      <w:r>
        <w:t xml:space="preserve">Polarization (HH, HV, VV, VH)</w:t>
      </w:r>
    </w:p>
    <w:p>
      <w:pPr>
        <w:pStyle w:val="Compact"/>
        <w:numPr>
          <w:ilvl w:val="0"/>
          <w:numId w:val="1078"/>
        </w:numPr>
      </w:pPr>
      <w:r>
        <w:t xml:space="preserve">Data Format (GeoTIFF, HDF5, NetCDF, …)</w:t>
      </w:r>
    </w:p>
    <w:p>
      <w:pPr>
        <w:pStyle w:val="Compact"/>
        <w:numPr>
          <w:ilvl w:val="0"/>
          <w:numId w:val="1078"/>
        </w:numPr>
      </w:pPr>
      <w:r>
        <w:t xml:space="preserve">Data Type (Int, Float, …)</w:t>
      </w:r>
    </w:p>
    <w:p>
      <w:pPr>
        <w:pStyle w:val="Compact"/>
        <w:numPr>
          <w:ilvl w:val="0"/>
          <w:numId w:val="1078"/>
        </w:numPr>
      </w:pPr>
      <w:r>
        <w:t xml:space="preserve">Bits per Sample</w:t>
      </w:r>
    </w:p>
    <w:p>
      <w:pPr>
        <w:pStyle w:val="Compact"/>
        <w:numPr>
          <w:ilvl w:val="0"/>
          <w:numId w:val="1078"/>
        </w:numPr>
      </w:pPr>
      <w:r>
        <w:t xml:space="preserve">Byte Order</w:t>
      </w:r>
    </w:p>
    <w:p>
      <w:pPr>
        <w:pStyle w:val="FirstParagraph"/>
      </w:pPr>
      <w:r>
        <w:t xml:space="preserve">Notes:</w:t>
      </w:r>
    </w:p>
    <w:p>
      <w:pPr>
        <w:pStyle w:val="Compact"/>
        <w:numPr>
          <w:ilvl w:val="0"/>
          <w:numId w:val="1079"/>
        </w:numPr>
      </w:pPr>
      <w:r>
        <w:t xml:space="preserve">Transformation to the logarithm decibel scale is not required or desired as this step can be easily completed by the user if necessary.</w:t>
      </w:r>
    </w:p>
    <w:bookmarkEnd w:id="221"/>
    <w:bookmarkStart w:id="222" w:name="goal-requirements-46"/>
    <w:p>
      <w:pPr>
        <w:pStyle w:val="berschrift5"/>
      </w:pPr>
      <w:r>
        <w:t xml:space="preserve">Goal requirements:</w:t>
      </w:r>
    </w:p>
    <w:p>
      <w:pPr>
        <w:pStyle w:val="FirstParagraph"/>
      </w:pPr>
      <w:r>
        <w:t xml:space="preserve">As threshold.</w:t>
      </w:r>
      <w:r>
        <w:t xml:space="preserve"> </w:t>
      </w:r>
    </w:p>
    <w:bookmarkEnd w:id="222"/>
    <w:bookmarkStart w:id="223" w:name="assessment-46"/>
    <w:p>
      <w:pPr>
        <w:pStyle w:val="berschrift5"/>
      </w:pPr>
      <w:r>
        <w:t xml:space="preserve">Assessment:</w:t>
      </w:r>
    </w:p>
    <w:p>
      <w:pPr>
        <w:pStyle w:val="Compact"/>
        <w:numPr>
          <w:ilvl w:val="0"/>
          <w:numId w:val="1080"/>
        </w:numPr>
      </w:pPr>
      <w:r>
        <w:t xml:space="preserve">Threshold Self-Assessment:</w:t>
      </w:r>
    </w:p>
    <w:p>
      <w:pPr>
        <w:pStyle w:val="Compact"/>
        <w:numPr>
          <w:ilvl w:val="0"/>
          <w:numId w:val="1080"/>
        </w:numPr>
      </w:pPr>
      <w:r>
        <w:t xml:space="preserve">Goal Self-Assessment:</w:t>
      </w:r>
    </w:p>
    <w:p>
      <w:pPr>
        <w:pStyle w:val="Compact"/>
        <w:numPr>
          <w:ilvl w:val="0"/>
          <w:numId w:val="1080"/>
        </w:numPr>
      </w:pPr>
      <w:r>
        <w:t xml:space="preserve">Self-Assessment Explanation/ Justification:</w:t>
      </w:r>
    </w:p>
    <w:p>
      <w:pPr>
        <w:pStyle w:val="Compact"/>
        <w:numPr>
          <w:ilvl w:val="0"/>
          <w:numId w:val="1080"/>
        </w:numPr>
      </w:pPr>
      <w:r>
        <w:t xml:space="preserve">Recommended Requirement Modification:</w:t>
      </w:r>
    </w:p>
    <w:p>
      <w:r>
        <w:pict>
          <v:rect style="width:0;height:1.5pt" o:hralign="center" o:hrstd="t" o:hr="t"/>
        </w:pict>
      </w:r>
    </w:p>
    <w:bookmarkEnd w:id="223"/>
    <w:bookmarkEnd w:id="224"/>
    <w:bookmarkStart w:id="228" w:name="sec:rcm-sclcnv"/>
    <w:p>
      <w:pPr>
        <w:pStyle w:val="berschrift4"/>
      </w:pPr>
      <w:r>
        <w:rPr>
          <w:rStyle w:val="VerbatimChar"/>
        </w:rPr>
        <w:t xml:space="preserve">5.3.</w:t>
      </w:r>
      <w:r>
        <w:t xml:space="preserve"> </w:t>
      </w:r>
      <w:r>
        <w:t xml:space="preserve">Scaling Conversion</w:t>
      </w:r>
    </w:p>
    <w:p>
      <w:pPr>
        <w:pStyle w:val="FirstParagraph"/>
      </w:pPr>
      <w:r>
        <w:t xml:space="preserve">Identifier:</w:t>
      </w:r>
      <w:r>
        <w:t xml:space="preserve"> </w:t>
      </w:r>
      <w:r>
        <w:rPr>
          <w:rStyle w:val="VerbatimChar"/>
        </w:rPr>
        <w:t xml:space="preserve">rcm-sclcnv</w:t>
      </w:r>
    </w:p>
    <w:bookmarkStart w:id="225" w:name="threshold-requirements-47"/>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25"/>
    <w:bookmarkStart w:id="226" w:name="goal-requirements-47"/>
    <w:p>
      <w:pPr>
        <w:pStyle w:val="berschrift5"/>
      </w:pPr>
      <w:r>
        <w:t xml:space="preserve">Goal requirements:</w:t>
      </w:r>
    </w:p>
    <w:p>
      <w:pPr>
        <w:pStyle w:val="FirstParagraph"/>
      </w:pPr>
      <w:r>
        <w:t xml:space="preserve">As threshold, but use of float32.</w:t>
      </w:r>
    </w:p>
    <w:bookmarkEnd w:id="226"/>
    <w:bookmarkStart w:id="227" w:name="assessment-47"/>
    <w:p>
      <w:pPr>
        <w:pStyle w:val="berschrift5"/>
      </w:pPr>
      <w:r>
        <w:t xml:space="preserve">Assessment:</w:t>
      </w:r>
    </w:p>
    <w:p>
      <w:pPr>
        <w:pStyle w:val="Compact"/>
        <w:numPr>
          <w:ilvl w:val="0"/>
          <w:numId w:val="1081"/>
        </w:numPr>
      </w:pPr>
      <w:r>
        <w:t xml:space="preserve">Threshold Self-Assessment:</w:t>
      </w:r>
    </w:p>
    <w:p>
      <w:pPr>
        <w:pStyle w:val="Compact"/>
        <w:numPr>
          <w:ilvl w:val="0"/>
          <w:numId w:val="1081"/>
        </w:numPr>
      </w:pPr>
      <w:r>
        <w:t xml:space="preserve">Goal Self-Assessment:</w:t>
      </w:r>
    </w:p>
    <w:p>
      <w:pPr>
        <w:pStyle w:val="Compact"/>
        <w:numPr>
          <w:ilvl w:val="0"/>
          <w:numId w:val="1081"/>
        </w:numPr>
      </w:pPr>
      <w:r>
        <w:t xml:space="preserve">Self-Assessment Explanation/ Justification:</w:t>
      </w:r>
    </w:p>
    <w:p>
      <w:pPr>
        <w:pStyle w:val="Compact"/>
        <w:numPr>
          <w:ilvl w:val="0"/>
          <w:numId w:val="1081"/>
        </w:numPr>
      </w:pPr>
      <w:r>
        <w:t xml:space="preserve">Recommended Requirement Modification:</w:t>
      </w:r>
    </w:p>
    <w:p>
      <w:r>
        <w:pict>
          <v:rect style="width:0;height:1.5pt" o:hralign="center" o:hrstd="t" o:hr="t"/>
        </w:pict>
      </w:r>
    </w:p>
    <w:bookmarkEnd w:id="227"/>
    <w:bookmarkEnd w:id="228"/>
    <w:bookmarkStart w:id="232" w:name="sec:rcm-nzrmvl"/>
    <w:p>
      <w:pPr>
        <w:pStyle w:val="berschrift4"/>
      </w:pPr>
      <w:r>
        <w:rPr>
          <w:rStyle w:val="VerbatimChar"/>
        </w:rPr>
        <w:t xml:space="preserve">5.4.</w:t>
      </w:r>
      <w:r>
        <w:t xml:space="preserve"> </w:t>
      </w:r>
      <w:r>
        <w:t xml:space="preserve">Noise Removal</w:t>
      </w:r>
    </w:p>
    <w:p>
      <w:pPr>
        <w:pStyle w:val="FirstParagraph"/>
      </w:pPr>
      <w:r>
        <w:t xml:space="preserve">Identifier:</w:t>
      </w:r>
      <w:r>
        <w:t xml:space="preserve"> </w:t>
      </w:r>
      <w:r>
        <w:rPr>
          <w:rStyle w:val="VerbatimChar"/>
        </w:rPr>
        <w:t xml:space="preserve">rcm-nzrmvl</w:t>
      </w:r>
    </w:p>
    <w:bookmarkStart w:id="229" w:name="threshold-requirements-48"/>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Notes:</w:t>
      </w:r>
    </w:p>
    <w:p>
      <w:pPr>
        <w:pStyle w:val="Compact"/>
        <w:numPr>
          <w:ilvl w:val="0"/>
          <w:numId w:val="1082"/>
        </w:numPr>
      </w:pPr>
      <w:r>
        <w:t xml:space="preserve">Thermal noise removal and image border noise removal to remove overall scene noise and scene edge artefacts, respectively.</w:t>
      </w:r>
    </w:p>
    <w:bookmarkEnd w:id="229"/>
    <w:bookmarkStart w:id="230" w:name="goal-requirements-48"/>
    <w:p>
      <w:pPr>
        <w:pStyle w:val="berschrift5"/>
      </w:pPr>
      <w:r>
        <w:t xml:space="preserve">Goal requirements:</w:t>
      </w:r>
    </w:p>
    <w:p>
      <w:pPr>
        <w:pStyle w:val="FirstParagraph"/>
      </w:pPr>
      <w:r>
        <w:t xml:space="preserve">As threshold.</w:t>
      </w:r>
      <w:r>
        <w:t xml:space="preserve"> </w:t>
      </w:r>
    </w:p>
    <w:bookmarkEnd w:id="230"/>
    <w:bookmarkStart w:id="231" w:name="assessment-48"/>
    <w:p>
      <w:pPr>
        <w:pStyle w:val="berschrift5"/>
      </w:pPr>
      <w:r>
        <w:t xml:space="preserve">Assessment:</w:t>
      </w:r>
    </w:p>
    <w:p>
      <w:pPr>
        <w:pStyle w:val="Compact"/>
        <w:numPr>
          <w:ilvl w:val="0"/>
          <w:numId w:val="1083"/>
        </w:numPr>
      </w:pPr>
      <w:r>
        <w:t xml:space="preserve">Threshold Self-Assessment:</w:t>
      </w:r>
    </w:p>
    <w:p>
      <w:pPr>
        <w:pStyle w:val="Compact"/>
        <w:numPr>
          <w:ilvl w:val="0"/>
          <w:numId w:val="1083"/>
        </w:numPr>
      </w:pPr>
      <w:r>
        <w:t xml:space="preserve">Goal Self-Assessment:</w:t>
      </w:r>
    </w:p>
    <w:p>
      <w:pPr>
        <w:pStyle w:val="Compact"/>
        <w:numPr>
          <w:ilvl w:val="0"/>
          <w:numId w:val="1083"/>
        </w:numPr>
      </w:pPr>
      <w:r>
        <w:t xml:space="preserve">Self-Assessment Explanation/ Justification:</w:t>
      </w:r>
    </w:p>
    <w:p>
      <w:pPr>
        <w:pStyle w:val="Compact"/>
        <w:numPr>
          <w:ilvl w:val="0"/>
          <w:numId w:val="1083"/>
        </w:numPr>
      </w:pPr>
      <w:r>
        <w:t xml:space="preserve">Recommended Requirement Modification:</w:t>
      </w:r>
    </w:p>
    <w:p>
      <w:r>
        <w:pict>
          <v:rect style="width:0;height:1.5pt" o:hralign="center" o:hrstd="t" o:hr="t"/>
        </w:pict>
      </w:r>
    </w:p>
    <w:bookmarkEnd w:id="231"/>
    <w:bookmarkEnd w:id="232"/>
    <w:bookmarkStart w:id="236" w:name="sec:rcm-rtagsl"/>
    <w:p>
      <w:pPr>
        <w:pStyle w:val="berschrift4"/>
      </w:pPr>
      <w:r>
        <w:rPr>
          <w:rStyle w:val="VerbatimChar"/>
        </w:rPr>
        <w:t xml:space="preserve">5.5.</w:t>
      </w:r>
      <w:r>
        <w:t xml:space="preserve"> </w:t>
      </w:r>
      <w:r>
        <w:t xml:space="preserve">Radiometric Terrain Correction Algorithm</w:t>
      </w:r>
    </w:p>
    <w:p>
      <w:pPr>
        <w:pStyle w:val="FirstParagraph"/>
      </w:pPr>
      <w:r>
        <w:t xml:space="preserve">Identifier:</w:t>
      </w:r>
      <w:r>
        <w:t xml:space="preserve"> </w:t>
      </w:r>
      <w:r>
        <w:rPr>
          <w:rStyle w:val="VerbatimChar"/>
        </w:rPr>
        <w:t xml:space="preserve">rcm-rtagsl</w:t>
      </w:r>
    </w:p>
    <w:bookmarkStart w:id="233" w:name="threshold-requirements-49"/>
    <w:p>
      <w:pPr>
        <w:pStyle w:val="berschrift5"/>
      </w:pPr>
      <w:r>
        <w:t xml:space="preserve">Threshold requirements:</w:t>
      </w:r>
    </w:p>
    <w:p>
      <w:pPr>
        <w:pStyle w:val="FirstParagraph"/>
      </w:pPr>
      <w:r>
        <w:t xml:space="preserve">Not required.</w:t>
      </w:r>
      <w:r>
        <w:t xml:space="preserve"> </w:t>
      </w:r>
    </w:p>
    <w:bookmarkEnd w:id="233"/>
    <w:bookmarkStart w:id="234" w:name="goal-requirements-49"/>
    <w:p>
      <w:pPr>
        <w:pStyle w:val="berschrift5"/>
      </w:pPr>
      <w:r>
        <w:t xml:space="preserve">Goal requirements:</w:t>
      </w:r>
    </w:p>
    <w:p>
      <w:pPr>
        <w:pStyle w:val="FirstParagraph"/>
      </w:pPr>
      <w:r>
        <w:t xml:space="preserve">Adjustments were made for terrain by modelling the local contributing scattering area using the preferred choice of a published peer-reviewed algorithm to produce radiometrically terrain corrected (RTC)</w:t>
      </w:r>
      <w:r>
        <w:t xml:space="preserve"> </w:t>
      </w:r>
      <m:oMath>
        <m:sSubSup>
          <m:e>
            <m:r>
              <m:t>γ</m:t>
            </m:r>
          </m:e>
          <m:sub>
            <m:r>
              <m:t>T</m:t>
            </m:r>
          </m:sub>
          <m:sup>
            <m:r>
              <m:t>0</m:t>
            </m:r>
          </m:sup>
        </m:sSubSup>
      </m:oMath>
      <w:r>
        <w:t xml:space="preserve"> </w:t>
      </w:r>
      <w:r>
        <w:t xml:space="preserve">backscatter estimates.</w:t>
      </w:r>
    </w:p>
    <w:p>
      <w:pPr>
        <w:pStyle w:val="Textkrper"/>
      </w:pPr>
      <w:r>
        <w:t xml:space="preserve">Metadata references, e.g.</w:t>
      </w:r>
    </w:p>
    <w:p>
      <w:pPr>
        <w:pStyle w:val="Compact"/>
        <w:numPr>
          <w:ilvl w:val="0"/>
          <w:numId w:val="1084"/>
        </w:numPr>
      </w:pPr>
      <w:r>
        <w:t xml:space="preserve">a citable peer-reviewed algorithm</w:t>
      </w:r>
    </w:p>
    <w:p>
      <w:pPr>
        <w:pStyle w:val="Compact"/>
        <w:numPr>
          <w:ilvl w:val="0"/>
          <w:numId w:val="1084"/>
        </w:numPr>
      </w:pPr>
      <w:r>
        <w:t xml:space="preserve">technical documentation regarding the algorithm used to generate the backscatter estimates is expressed as URLs or DOIs</w:t>
      </w:r>
    </w:p>
    <w:p>
      <w:pPr>
        <w:pStyle w:val="Compact"/>
        <w:numPr>
          <w:ilvl w:val="0"/>
          <w:numId w:val="1084"/>
        </w:numPr>
      </w:pPr>
      <w:r>
        <w:t xml:space="preserve">the sources of auxiliary data used to make corrections</w:t>
      </w:r>
    </w:p>
    <w:p>
      <w:pPr>
        <w:pStyle w:val="FirstParagraph"/>
      </w:pPr>
      <w:r>
        <w:t xml:space="preserve">Require resolution of DEM better than the output product resolution when applying terrain corrections.</w:t>
      </w:r>
    </w:p>
    <w:p>
      <w:pPr>
        <w:pStyle w:val="Textkrper"/>
      </w:pPr>
      <w:r>
        <w:t xml:space="preserve">Notes:</w:t>
      </w:r>
    </w:p>
    <w:p>
      <w:pPr>
        <w:pStyle w:val="Compact"/>
        <w:numPr>
          <w:ilvl w:val="0"/>
          <w:numId w:val="1085"/>
        </w:numPr>
      </w:pPr>
      <w:r>
        <w:t xml:space="preserve">Examples of technical documentation include an Algorithm, Theoretical Basis Document, product user guide, etc.</w:t>
      </w:r>
    </w:p>
    <w:bookmarkEnd w:id="234"/>
    <w:bookmarkStart w:id="235" w:name="assessment-49"/>
    <w:p>
      <w:pPr>
        <w:pStyle w:val="berschrift5"/>
      </w:pPr>
      <w:r>
        <w:t xml:space="preserve">Assessment:</w:t>
      </w:r>
    </w:p>
    <w:p>
      <w:pPr>
        <w:pStyle w:val="Compact"/>
        <w:numPr>
          <w:ilvl w:val="0"/>
          <w:numId w:val="1086"/>
        </w:numPr>
      </w:pPr>
      <w:r>
        <w:t xml:space="preserve">Threshold Self-Assessment:</w:t>
      </w:r>
    </w:p>
    <w:p>
      <w:pPr>
        <w:pStyle w:val="Compact"/>
        <w:numPr>
          <w:ilvl w:val="0"/>
          <w:numId w:val="1086"/>
        </w:numPr>
      </w:pPr>
      <w:r>
        <w:t xml:space="preserve">Goal Self-Assessment:</w:t>
      </w:r>
    </w:p>
    <w:p>
      <w:pPr>
        <w:pStyle w:val="Compact"/>
        <w:numPr>
          <w:ilvl w:val="0"/>
          <w:numId w:val="1086"/>
        </w:numPr>
      </w:pPr>
      <w:r>
        <w:t xml:space="preserve">Self-Assessment Explanation/ Justification:</w:t>
      </w:r>
    </w:p>
    <w:p>
      <w:pPr>
        <w:pStyle w:val="Compact"/>
        <w:numPr>
          <w:ilvl w:val="0"/>
          <w:numId w:val="1086"/>
        </w:numPr>
      </w:pPr>
      <w:r>
        <w:t xml:space="preserve">Recommended Requirement Modification:</w:t>
      </w:r>
    </w:p>
    <w:p>
      <w:r>
        <w:pict>
          <v:rect style="width:0;height:1.5pt" o:hralign="center" o:hrstd="t" o:hr="t"/>
        </w:pict>
      </w:r>
    </w:p>
    <w:bookmarkEnd w:id="235"/>
    <w:bookmarkEnd w:id="236"/>
    <w:bookmarkStart w:id="240" w:name="sec:rcm-rmasar"/>
    <w:p>
      <w:pPr>
        <w:pStyle w:val="berschrift4"/>
      </w:pPr>
      <w:r>
        <w:rPr>
          <w:rStyle w:val="VerbatimChar"/>
        </w:rPr>
        <w:t xml:space="preserve">5.6.</w:t>
      </w:r>
      <w:r>
        <w:t xml:space="preserve"> </w:t>
      </w:r>
      <w:r>
        <w:t xml:space="preserve">Radiometric Accuracy</w:t>
      </w:r>
    </w:p>
    <w:p>
      <w:pPr>
        <w:pStyle w:val="FirstParagraph"/>
      </w:pPr>
      <w:r>
        <w:t xml:space="preserve">Identifier:</w:t>
      </w:r>
      <w:r>
        <w:t xml:space="preserve"> </w:t>
      </w:r>
      <w:r>
        <w:rPr>
          <w:rStyle w:val="VerbatimChar"/>
        </w:rPr>
        <w:t xml:space="preserve">rcm-rmasar</w:t>
      </w:r>
    </w:p>
    <w:bookmarkStart w:id="237" w:name="threshold-requirements-50"/>
    <w:p>
      <w:pPr>
        <w:pStyle w:val="berschrift5"/>
      </w:pPr>
      <w:r>
        <w:t xml:space="preserve">Threshold requirements:</w:t>
      </w:r>
    </w:p>
    <w:p>
      <w:pPr>
        <w:pStyle w:val="FirstParagraph"/>
      </w:pPr>
      <w:r>
        <w:t xml:space="preserve">Not required.</w:t>
      </w:r>
      <w:r>
        <w:t xml:space="preserve"> </w:t>
      </w:r>
    </w:p>
    <w:bookmarkEnd w:id="237"/>
    <w:bookmarkStart w:id="238" w:name="goal-requirements-50"/>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38"/>
    <w:bookmarkStart w:id="239" w:name="assessment-50"/>
    <w:p>
      <w:pPr>
        <w:pStyle w:val="berschrift5"/>
      </w:pPr>
      <w:r>
        <w:t xml:space="preserve">Assessment:</w:t>
      </w:r>
    </w:p>
    <w:p>
      <w:pPr>
        <w:pStyle w:val="Compact"/>
        <w:numPr>
          <w:ilvl w:val="0"/>
          <w:numId w:val="1087"/>
        </w:numPr>
      </w:pPr>
      <w:r>
        <w:t xml:space="preserve">Threshold Self-Assessment:</w:t>
      </w:r>
    </w:p>
    <w:p>
      <w:pPr>
        <w:pStyle w:val="Compact"/>
        <w:numPr>
          <w:ilvl w:val="0"/>
          <w:numId w:val="1087"/>
        </w:numPr>
      </w:pPr>
      <w:r>
        <w:t xml:space="preserve">Goal Self-Assessment:</w:t>
      </w:r>
    </w:p>
    <w:p>
      <w:pPr>
        <w:pStyle w:val="Compact"/>
        <w:numPr>
          <w:ilvl w:val="0"/>
          <w:numId w:val="1087"/>
        </w:numPr>
      </w:pPr>
      <w:r>
        <w:t xml:space="preserve">Self-Assessment Explanation/ Justification:</w:t>
      </w:r>
    </w:p>
    <w:p>
      <w:pPr>
        <w:pStyle w:val="Compact"/>
        <w:numPr>
          <w:ilvl w:val="0"/>
          <w:numId w:val="1087"/>
        </w:numPr>
      </w:pPr>
      <w:r>
        <w:t xml:space="preserve">Recommended Requirement Modification:</w:t>
      </w:r>
    </w:p>
    <w:bookmarkEnd w:id="239"/>
    <w:bookmarkEnd w:id="240"/>
    <w:bookmarkEnd w:id="241"/>
    <w:bookmarkStart w:id="262"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45" w:name="sec:gcor-gmcalg"/>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gcor-gmcalg</w:t>
      </w:r>
    </w:p>
    <w:bookmarkStart w:id="242" w:name="threshold-requirements-51"/>
    <w:p>
      <w:pPr>
        <w:pStyle w:val="berschrift5"/>
      </w:pPr>
      <w:r>
        <w:t xml:space="preserve">Threshold requirements:</w:t>
      </w:r>
    </w:p>
    <w:p>
      <w:pPr>
        <w:pStyle w:val="FirstParagraph"/>
      </w:pPr>
      <w:r>
        <w:t xml:space="preserve">Not required.</w:t>
      </w:r>
      <w:r>
        <w:t xml:space="preserve"> </w:t>
      </w:r>
    </w:p>
    <w:bookmarkEnd w:id="242"/>
    <w:bookmarkStart w:id="243" w:name="goal-requirements-51"/>
    <w:p>
      <w:pPr>
        <w:pStyle w:val="berschrift5"/>
      </w:pPr>
      <w:r>
        <w:t xml:space="preserve">Goal requirements:</w:t>
      </w:r>
    </w:p>
    <w:p>
      <w:pPr>
        <w:pStyle w:val="FirstParagraph"/>
      </w:pPr>
      <w:r>
        <w:t xml:space="preserve">Metadata references, e.g.:</w:t>
      </w:r>
    </w:p>
    <w:p>
      <w:pPr>
        <w:pStyle w:val="Compact"/>
        <w:numPr>
          <w:ilvl w:val="0"/>
          <w:numId w:val="1088"/>
        </w:numPr>
      </w:pPr>
      <w:r>
        <w:t xml:space="preserve">A metadata citable peer-reviewed algorithm</w:t>
      </w:r>
    </w:p>
    <w:p>
      <w:pPr>
        <w:pStyle w:val="Compact"/>
        <w:numPr>
          <w:ilvl w:val="0"/>
          <w:numId w:val="1088"/>
        </w:numPr>
      </w:pPr>
      <w:r>
        <w:t xml:space="preserve">Technical documentation regarding the implementation of that algorithm expressed as URLs or DOIs</w:t>
      </w:r>
    </w:p>
    <w:p>
      <w:pPr>
        <w:pStyle w:val="Compact"/>
        <w:numPr>
          <w:ilvl w:val="0"/>
          <w:numId w:val="1088"/>
        </w:numPr>
      </w:pPr>
      <w:r>
        <w:t xml:space="preserve">The sources of auxiliary data used to make corrections</w:t>
      </w:r>
    </w:p>
    <w:p>
      <w:pPr>
        <w:pStyle w:val="Compact"/>
        <w:numPr>
          <w:ilvl w:val="0"/>
          <w:numId w:val="1088"/>
        </w:numPr>
      </w:pPr>
      <w:r>
        <w:t xml:space="preserve">Resampling method used for geometric processing of the source data</w:t>
      </w:r>
    </w:p>
    <w:p>
      <w:pPr>
        <w:pStyle w:val="FirstParagraph"/>
      </w:pPr>
      <w:r>
        <w:t xml:space="preserve">Notes:</w:t>
      </w:r>
    </w:p>
    <w:p>
      <w:pPr>
        <w:pStyle w:val="Compact"/>
        <w:numPr>
          <w:ilvl w:val="0"/>
          <w:numId w:val="1089"/>
        </w:numPr>
      </w:pPr>
      <w:r>
        <w:t xml:space="preserve">Examples of technical documentation can include e.g., an Algorithm Theoretical Basis Document (ATBD) or a product user guide.</w:t>
      </w:r>
    </w:p>
    <w:bookmarkEnd w:id="243"/>
    <w:bookmarkStart w:id="244" w:name="assessment-51"/>
    <w:p>
      <w:pPr>
        <w:pStyle w:val="berschrift5"/>
      </w:pPr>
      <w:r>
        <w:t xml:space="preserve">Assessment:</w:t>
      </w:r>
    </w:p>
    <w:p>
      <w:pPr>
        <w:pStyle w:val="Compact"/>
        <w:numPr>
          <w:ilvl w:val="0"/>
          <w:numId w:val="1090"/>
        </w:numPr>
      </w:pPr>
      <w:r>
        <w:t xml:space="preserve">Threshold Self-Assessment:</w:t>
      </w:r>
    </w:p>
    <w:p>
      <w:pPr>
        <w:pStyle w:val="Compact"/>
        <w:numPr>
          <w:ilvl w:val="0"/>
          <w:numId w:val="1090"/>
        </w:numPr>
      </w:pPr>
      <w:r>
        <w:t xml:space="preserve">Goal Self-Assessment:</w:t>
      </w:r>
    </w:p>
    <w:p>
      <w:pPr>
        <w:pStyle w:val="Compact"/>
        <w:numPr>
          <w:ilvl w:val="0"/>
          <w:numId w:val="1090"/>
        </w:numPr>
      </w:pPr>
      <w:r>
        <w:t xml:space="preserve">Self-Assessment Explanation/ Justification:</w:t>
      </w:r>
    </w:p>
    <w:p>
      <w:pPr>
        <w:pStyle w:val="Compact"/>
        <w:numPr>
          <w:ilvl w:val="0"/>
          <w:numId w:val="1090"/>
        </w:numPr>
      </w:pPr>
      <w:r>
        <w:t xml:space="preserve">Recommended Requirement Modification:</w:t>
      </w:r>
    </w:p>
    <w:p>
      <w:r>
        <w:pict>
          <v:rect style="width:0;height:1.5pt" o:hralign="center" o:hrstd="t" o:hr="t"/>
        </w:pict>
      </w:r>
    </w:p>
    <w:bookmarkEnd w:id="244"/>
    <w:bookmarkEnd w:id="245"/>
    <w:bookmarkStart w:id="249" w:name="sec:gcor-cor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gcor-cordem</w:t>
      </w:r>
    </w:p>
    <w:p>
      <w:pPr>
        <w:pStyle w:val="Textkrper"/>
      </w:pPr>
      <w:r>
        <w:rPr>
          <w:b/>
          <w:bCs/>
        </w:rPr>
        <w:t xml:space="preserve">Usage: For products including land areas.</w:t>
      </w:r>
    </w:p>
    <w:bookmarkStart w:id="246" w:name="threshold-requirements-52"/>
    <w:p>
      <w:pPr>
        <w:pStyle w:val="berschrift5"/>
      </w:pPr>
      <w:r>
        <w:t xml:space="preserve">Threshold requirements:</w:t>
      </w:r>
    </w:p>
    <w:p>
      <w:pPr>
        <w:pStyle w:val="Compact"/>
        <w:numPr>
          <w:ilvl w:val="0"/>
          <w:numId w:val="1091"/>
        </w:numPr>
      </w:pPr>
      <w:r>
        <w:t xml:space="preserve">During ortho-rectification, the data provider shall use the same DEM that was used for the radiometric terrain flattening to ensure consistency of the data stack.</w:t>
      </w:r>
    </w:p>
    <w:p>
      <w:pPr>
        <w:pStyle w:val="Compact"/>
        <w:numPr>
          <w:ilvl w:val="0"/>
          <w:numId w:val="1091"/>
        </w:numPr>
      </w:pPr>
      <w:r>
        <w:t xml:space="preserve">Provide reference to Digital Elevation Model used for geometric terrain correction.</w:t>
      </w:r>
    </w:p>
    <w:p>
      <w:pPr>
        <w:pStyle w:val="Compact"/>
        <w:numPr>
          <w:ilvl w:val="0"/>
          <w:numId w:val="1091"/>
        </w:numPr>
      </w:pPr>
      <w:r>
        <w:t xml:space="preserve">Provide reference to Earth Gravitational Model (EGM) used for geometric correction.</w:t>
      </w:r>
    </w:p>
    <w:bookmarkEnd w:id="246"/>
    <w:bookmarkStart w:id="247" w:name="goal-requirements-52"/>
    <w:p>
      <w:pPr>
        <w:pStyle w:val="berschrift5"/>
      </w:pPr>
      <w:r>
        <w:t xml:space="preserve">Goal requirements:</w:t>
      </w:r>
    </w:p>
    <w:p>
      <w:pPr>
        <w:pStyle w:val="Compact"/>
        <w:numPr>
          <w:ilvl w:val="0"/>
          <w:numId w:val="1092"/>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92"/>
        </w:numPr>
      </w:pPr>
      <w:r>
        <w:t xml:space="preserve">Resampling method used for preparation of the DEM.</w:t>
      </w:r>
    </w:p>
    <w:p>
      <w:pPr>
        <w:pStyle w:val="Compact"/>
        <w:numPr>
          <w:ilvl w:val="0"/>
          <w:numId w:val="1092"/>
        </w:numPr>
      </w:pPr>
      <w:r>
        <w:t xml:space="preserve">Method used for resampling the EGM.</w:t>
      </w:r>
    </w:p>
    <w:bookmarkEnd w:id="247"/>
    <w:bookmarkStart w:id="248" w:name="assessment-52"/>
    <w:p>
      <w:pPr>
        <w:pStyle w:val="berschrift5"/>
      </w:pPr>
      <w:r>
        <w:t xml:space="preserve">Assessment:</w:t>
      </w:r>
    </w:p>
    <w:p>
      <w:pPr>
        <w:pStyle w:val="Compact"/>
        <w:numPr>
          <w:ilvl w:val="0"/>
          <w:numId w:val="1093"/>
        </w:numPr>
      </w:pPr>
      <w:r>
        <w:t xml:space="preserve">Threshold Self-Assessment:</w:t>
      </w:r>
    </w:p>
    <w:p>
      <w:pPr>
        <w:pStyle w:val="Compact"/>
        <w:numPr>
          <w:ilvl w:val="0"/>
          <w:numId w:val="1093"/>
        </w:numPr>
      </w:pPr>
      <w:r>
        <w:t xml:space="preserve">Goal Self-Assessment:</w:t>
      </w:r>
    </w:p>
    <w:p>
      <w:pPr>
        <w:pStyle w:val="Compact"/>
        <w:numPr>
          <w:ilvl w:val="0"/>
          <w:numId w:val="1093"/>
        </w:numPr>
      </w:pPr>
      <w:r>
        <w:t xml:space="preserve">Self-Assessment Explanation/ Justification:</w:t>
      </w:r>
    </w:p>
    <w:p>
      <w:pPr>
        <w:pStyle w:val="Compact"/>
        <w:numPr>
          <w:ilvl w:val="0"/>
          <w:numId w:val="1093"/>
        </w:numPr>
      </w:pPr>
      <w:r>
        <w:t xml:space="preserve">Recommended Requirement Modification:</w:t>
      </w:r>
    </w:p>
    <w:p>
      <w:r>
        <w:pict>
          <v:rect style="width:0;height:1.5pt" o:hralign="center" o:hrstd="t" o:hr="t"/>
        </w:pict>
      </w:r>
    </w:p>
    <w:bookmarkEnd w:id="248"/>
    <w:bookmarkEnd w:id="249"/>
    <w:bookmarkStart w:id="253" w:name="sec:gcor-geoacr"/>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gcor-geoacr</w:t>
      </w:r>
    </w:p>
    <w:bookmarkStart w:id="250" w:name="threshold-requirements-53"/>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w:t>
      </w:r>
      <w:r>
        <w:t xml:space="preserve"> </w:t>
      </w:r>
      <w:r>
        <w:t xml:space="preserve">“ARD”</w:t>
      </w:r>
      <w:r>
        <w:t xml:space="preserve"> </w:t>
      </w:r>
      <w:r>
        <w:t xml:space="preserve">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94"/>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94"/>
        </w:numPr>
      </w:pPr>
      <w:r>
        <w:t xml:space="preserve">The ALE is not typically assessed for every processed image, but through an ALE assessment by the data processing team characterizing all or (usually a subset) of the generated products.</w:t>
      </w:r>
    </w:p>
    <w:bookmarkEnd w:id="250"/>
    <w:bookmarkStart w:id="251" w:name="goal-requirements-53"/>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51"/>
    <w:bookmarkStart w:id="252" w:name="assessment-53"/>
    <w:p>
      <w:pPr>
        <w:pStyle w:val="berschrift5"/>
      </w:pPr>
      <w:r>
        <w:t xml:space="preserve">Assessment:</w:t>
      </w:r>
    </w:p>
    <w:p>
      <w:pPr>
        <w:pStyle w:val="Compact"/>
        <w:numPr>
          <w:ilvl w:val="0"/>
          <w:numId w:val="1095"/>
        </w:numPr>
      </w:pPr>
      <w:r>
        <w:t xml:space="preserve">Threshold Self-Assessment:</w:t>
      </w:r>
    </w:p>
    <w:p>
      <w:pPr>
        <w:pStyle w:val="Compact"/>
        <w:numPr>
          <w:ilvl w:val="0"/>
          <w:numId w:val="1095"/>
        </w:numPr>
      </w:pPr>
      <w:r>
        <w:t xml:space="preserve">Goal Self-Assessment:</w:t>
      </w:r>
    </w:p>
    <w:p>
      <w:pPr>
        <w:pStyle w:val="Compact"/>
        <w:numPr>
          <w:ilvl w:val="0"/>
          <w:numId w:val="1095"/>
        </w:numPr>
      </w:pPr>
      <w:r>
        <w:t xml:space="preserve">Self-Assessment Explanation/ Justification:</w:t>
      </w:r>
    </w:p>
    <w:p>
      <w:pPr>
        <w:pStyle w:val="Compact"/>
        <w:numPr>
          <w:ilvl w:val="0"/>
          <w:numId w:val="1095"/>
        </w:numPr>
      </w:pPr>
      <w:r>
        <w:t xml:space="preserve">Recommended Requirement Modification:</w:t>
      </w:r>
    </w:p>
    <w:p>
      <w:r>
        <w:pict>
          <v:rect style="width:0;height:1.5pt" o:hralign="center" o:hrstd="t" o:hr="t"/>
        </w:pict>
      </w:r>
    </w:p>
    <w:bookmarkEnd w:id="252"/>
    <w:bookmarkEnd w:id="253"/>
    <w:bookmarkStart w:id="257" w:name="sec:gcor-georfa"/>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gcor-georfa</w:t>
      </w:r>
    </w:p>
    <w:bookmarkStart w:id="254" w:name="threshold-requirements-54"/>
    <w:p>
      <w:pPr>
        <w:pStyle w:val="berschrift5"/>
      </w:pPr>
      <w:r>
        <w:t xml:space="preserve">Threshold requirements:</w:t>
      </w:r>
    </w:p>
    <w:p>
      <w:pPr>
        <w:pStyle w:val="FirstParagraph"/>
      </w:pPr>
      <w:r>
        <w:t xml:space="preserve">Not required.</w:t>
      </w:r>
      <w:r>
        <w:t xml:space="preserve"> </w:t>
      </w:r>
    </w:p>
    <w:bookmarkEnd w:id="254"/>
    <w:bookmarkStart w:id="255" w:name="goal-requirements-54"/>
    <w:p>
      <w:pPr>
        <w:pStyle w:val="berschrift5"/>
      </w:pPr>
      <w:r>
        <w:t xml:space="preserve">Goal requirements:</w:t>
      </w:r>
    </w:p>
    <w:p>
      <w:pPr>
        <w:pStyle w:val="FirstParagraph"/>
      </w:pPr>
      <w:r>
        <w:t xml:space="preserve">Values provided under Section </w:t>
      </w:r>
      <w:r>
        <w:t xml:space="preserve">“</w:t>
      </w:r>
      <w:hyperlink w:anchor="sec:gcor-geoacr">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55"/>
    <w:bookmarkStart w:id="256" w:name="assessment-54"/>
    <w:p>
      <w:pPr>
        <w:pStyle w:val="berschrift5"/>
      </w:pPr>
      <w:r>
        <w:t xml:space="preserve">Assessment:</w:t>
      </w:r>
    </w:p>
    <w:p>
      <w:pPr>
        <w:pStyle w:val="Compact"/>
        <w:numPr>
          <w:ilvl w:val="0"/>
          <w:numId w:val="1096"/>
        </w:numPr>
      </w:pPr>
      <w:r>
        <w:t xml:space="preserve">Threshold Self-Assessment:</w:t>
      </w:r>
    </w:p>
    <w:p>
      <w:pPr>
        <w:pStyle w:val="Compact"/>
        <w:numPr>
          <w:ilvl w:val="0"/>
          <w:numId w:val="1096"/>
        </w:numPr>
      </w:pPr>
      <w:r>
        <w:t xml:space="preserve">Goal Self-Assessment:</w:t>
      </w:r>
    </w:p>
    <w:p>
      <w:pPr>
        <w:pStyle w:val="Compact"/>
        <w:numPr>
          <w:ilvl w:val="0"/>
          <w:numId w:val="1096"/>
        </w:numPr>
      </w:pPr>
      <w:r>
        <w:t xml:space="preserve">Self-Assessment Explanation/ Justification:</w:t>
      </w:r>
    </w:p>
    <w:p>
      <w:pPr>
        <w:pStyle w:val="Compact"/>
        <w:numPr>
          <w:ilvl w:val="0"/>
          <w:numId w:val="1096"/>
        </w:numPr>
      </w:pPr>
      <w:r>
        <w:t xml:space="preserve">Recommended Requirement Modification:</w:t>
      </w:r>
    </w:p>
    <w:p>
      <w:r>
        <w:pict>
          <v:rect style="width:0;height:1.5pt" o:hralign="center" o:hrstd="t" o:hr="t"/>
        </w:pict>
      </w:r>
    </w:p>
    <w:bookmarkEnd w:id="256"/>
    <w:bookmarkEnd w:id="257"/>
    <w:bookmarkStart w:id="261" w:name="sec:gcor-gridcv"/>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gcor-gridcv</w:t>
      </w:r>
    </w:p>
    <w:bookmarkStart w:id="258" w:name="threshold-requirements-55"/>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w:t>
      </w:r>
      <w:r>
        <w:t xml:space="preserve"> </w:t>
      </w:r>
      <w:r>
        <w:t xml:space="preserve">“snap to grid”</w:t>
      </w:r>
      <w:r>
        <w:t xml:space="preserve"> </w:t>
      </w:r>
      <w:r>
        <w:t xml:space="preserve">in relation to the most proximate grid tile in a global system.</w:t>
      </w:r>
    </w:p>
    <w:p>
      <w:pPr>
        <w:pStyle w:val="Textkrper"/>
      </w:pPr>
      <w:r>
        <w:t xml:space="preserve">Notes:</w:t>
      </w:r>
    </w:p>
    <w:p>
      <w:pPr>
        <w:pStyle w:val="Compact"/>
        <w:numPr>
          <w:ilvl w:val="0"/>
          <w:numId w:val="1097"/>
        </w:numPr>
      </w:pPr>
      <w:r>
        <w:t xml:space="preserve">If a product hierarchy of resolutions exists (or is planned), the multiple resolutions should nest within each other (e.g., 12.5m, 25m, 50m, 100m, etc.), and not be disjoint.</w:t>
      </w:r>
    </w:p>
    <w:bookmarkEnd w:id="258"/>
    <w:bookmarkStart w:id="259" w:name="goal-requirements-55"/>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w:t>
      </w:r>
      <w:r>
        <w:t xml:space="preserve">“snap to grid”</w:t>
      </w:r>
      <w:r>
        <w:t xml:space="preserve">).</w:t>
      </w:r>
    </w:p>
    <w:p>
      <w:pPr>
        <w:pStyle w:val="Textkrper"/>
      </w:pPr>
      <w:r>
        <w:t xml:space="preserve">For products presented in geographic coordinates (latitude and longitude), the origin should be set to an integer multiple of samples in relation to the closest integer degree.</w:t>
      </w:r>
    </w:p>
    <w:bookmarkEnd w:id="259"/>
    <w:bookmarkStart w:id="260" w:name="assessment-55"/>
    <w:p>
      <w:pPr>
        <w:pStyle w:val="berschrift5"/>
      </w:pPr>
      <w:r>
        <w:t xml:space="preserve">Assessment:</w:t>
      </w:r>
    </w:p>
    <w:p>
      <w:pPr>
        <w:pStyle w:val="Compact"/>
        <w:numPr>
          <w:ilvl w:val="0"/>
          <w:numId w:val="1098"/>
        </w:numPr>
      </w:pPr>
      <w:r>
        <w:t xml:space="preserve">Threshold Self-Assessment:</w:t>
      </w:r>
    </w:p>
    <w:p>
      <w:pPr>
        <w:pStyle w:val="Compact"/>
        <w:numPr>
          <w:ilvl w:val="0"/>
          <w:numId w:val="1098"/>
        </w:numPr>
      </w:pPr>
      <w:r>
        <w:t xml:space="preserve">Goal Self-Assessment:</w:t>
      </w:r>
    </w:p>
    <w:p>
      <w:pPr>
        <w:pStyle w:val="Compact"/>
        <w:numPr>
          <w:ilvl w:val="0"/>
          <w:numId w:val="1098"/>
        </w:numPr>
      </w:pPr>
      <w:r>
        <w:t xml:space="preserve">Self-Assessment Explanation/ Justification:</w:t>
      </w:r>
    </w:p>
    <w:p>
      <w:pPr>
        <w:pStyle w:val="Compact"/>
        <w:numPr>
          <w:ilvl w:val="0"/>
          <w:numId w:val="1098"/>
        </w:numPr>
      </w:pPr>
      <w:r>
        <w:t xml:space="preserve">Recommended Requirement Modification:</w:t>
      </w:r>
    </w:p>
    <w:p>
      <w:r>
        <w:br w:type="page"/>
      </w:r>
    </w:p>
    <w:bookmarkEnd w:id="260"/>
    <w:bookmarkEnd w:id="261"/>
    <w:bookmarkEnd w:id="262"/>
    <w:bookmarkEnd w:id="263"/>
    <w:bookmarkStart w:id="270" w:name="summary-self-assessment-table"/>
    <w:p>
      <w:pPr>
        <w:pStyle w:val="berschrift2"/>
      </w:pPr>
      <w:r>
        <w:t xml:space="preserve">Summary Self-Assessment Table</w:t>
      </w:r>
    </w:p>
    <w:bookmarkStart w:id="264"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meta-trcsar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meta-mrdsar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meta-prdtyp</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meta-timsar</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64"/>
    <w:bookmarkStart w:id="265"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src-acqid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src-dacsrc</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src-inssar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src-timsrc</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src-acqpar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src-prcpar</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src-imgatt</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src-scasar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src-prfind</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src-polcal</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src-mfrang</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src-ionind</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65"/>
    <w:bookmarkStart w:id="266"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prd-dacprd</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prd-auxdat</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prd-smpspc</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prd-resol</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prd-geobx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prd-geoare</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prd-imgsiz</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prd-pxconv</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prd-crs</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prd-rulvec</w:t>
            </w:r>
          </w:p>
        </w:tc>
        <w:tc>
          <w:tcPr/>
          <w:p>
            <w:pPr>
              <w:pStyle w:val="Compact"/>
            </w:pPr>
            <w:r>
              <w:t xml:space="preserve">Radar Unit Look Vector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prd-sltrng</w:t>
            </w:r>
          </w:p>
        </w:tc>
        <w:tc>
          <w:tcPr/>
          <w:p>
            <w:pPr>
              <w:pStyle w:val="Compact"/>
            </w:pPr>
            <w:r>
              <w:t xml:space="preserve">Slant Range Sensor to Surface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prd-orbgsl</w:t>
            </w:r>
          </w:p>
        </w:tc>
        <w:tc>
          <w:tcPr/>
          <w:p>
            <w:pPr>
              <w:pStyle w:val="Compact"/>
            </w:pPr>
            <w:r>
              <w:t xml:space="preserve">Reference Orbit</w:t>
            </w:r>
          </w:p>
        </w:tc>
        <w:tc>
          <w:tcPr/>
          <w:p>
            <w:pPr>
              <w:pStyle w:val="Compact"/>
              <w:jc w:val="center"/>
            </w:pPr>
            <w:r>
              <w:rPr>
                <w:i/>
                <w:iCs/>
              </w:rPr>
              <w:t xml:space="preserve">not required</w:t>
            </w:r>
          </w:p>
        </w:tc>
        <w:tc>
          <w:tcPr/>
          <w:p>
            <w:pPr>
              <w:pStyle w:val="Compact"/>
            </w:pPr>
          </w:p>
        </w:tc>
      </w:tr>
    </w:tbl>
    <w:bookmarkEnd w:id="266"/>
    <w:bookmarkStart w:id="267"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pxl-cldopt</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pxl-mrdsar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pxl-ppmask</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pxl-ppscta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pxl-pplia</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pxl-ppelia</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pxl-ppnspw</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pxl-ppgmsg</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pxl-ppacqd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pxl-ppdem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pxl-pprulv</w:t>
            </w:r>
          </w:p>
        </w:tc>
        <w:tc>
          <w:tcPr/>
          <w:p>
            <w:pPr>
              <w:pStyle w:val="Compact"/>
            </w:pPr>
            <w:r>
              <w:t xml:space="preserve">Radar Unit Look Vector Grid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pxl-ppslrg</w:t>
            </w:r>
          </w:p>
        </w:tc>
        <w:tc>
          <w:tcPr/>
          <w:p>
            <w:pPr>
              <w:pStyle w:val="Compact"/>
            </w:pPr>
            <w:r>
              <w:t xml:space="preserve">Slant Range Sensor to Surface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pxl-ppiphu</w:t>
            </w:r>
          </w:p>
        </w:tc>
        <w:tc>
          <w:tcPr/>
          <w:p>
            <w:pPr>
              <w:pStyle w:val="Compact"/>
            </w:pPr>
            <w:r>
              <w:t xml:space="preserve">InSAR Phase Uncertainty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pxl-ppatpc</w:t>
            </w:r>
          </w:p>
        </w:tc>
        <w:tc>
          <w:tcPr/>
          <w:p>
            <w:pPr>
              <w:pStyle w:val="Compact"/>
            </w:pPr>
            <w:r>
              <w:t xml:space="preserve">Atmospheric Phase Correction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pxl-ppionc</w:t>
            </w:r>
          </w:p>
        </w:tc>
        <w:tc>
          <w:tcPr/>
          <w:p>
            <w:pPr>
              <w:pStyle w:val="Compact"/>
            </w:pPr>
            <w:r>
              <w:t xml:space="preserve">Ionospheric Phase Correction Image</w:t>
            </w:r>
          </w:p>
        </w:tc>
        <w:tc>
          <w:tcPr/>
          <w:p>
            <w:pPr>
              <w:pStyle w:val="Compact"/>
              <w:jc w:val="center"/>
            </w:pPr>
            <w:r>
              <w:rPr>
                <w:i/>
                <w:iCs/>
              </w:rPr>
              <w:t xml:space="preserve">not required</w:t>
            </w:r>
          </w:p>
        </w:tc>
        <w:tc>
          <w:tcPr/>
          <w:p>
            <w:pPr>
              <w:pStyle w:val="Compact"/>
            </w:pPr>
          </w:p>
        </w:tc>
      </w:tr>
    </w:tbl>
    <w:bookmarkEnd w:id="267"/>
    <w:bookmarkStart w:id="268"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rcm-cldopt</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rcm-bsgslc</w:t>
            </w:r>
          </w:p>
        </w:tc>
        <w:tc>
          <w:tcPr/>
          <w:p>
            <w:pPr>
              <w:pStyle w:val="Compact"/>
            </w:pPr>
            <w:r>
              <w:t xml:space="preserve">Backscatter Measurements (GSLC)</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rcm-sclcnv</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rcm-nzrmvl</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rcm-rtagsl</w:t>
            </w:r>
          </w:p>
        </w:tc>
        <w:tc>
          <w:tcPr/>
          <w:p>
            <w:pPr>
              <w:pStyle w:val="Compact"/>
            </w:pPr>
            <w:r>
              <w:t xml:space="preserve">Radiometric Terrain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rcm-rmasar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bl>
    <w:bookmarkEnd w:id="268"/>
    <w:bookmarkStart w:id="269"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gcor-gmcalg</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gcor-geoacr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gcor-georfa</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gcor-gridcv</w:t>
            </w:r>
          </w:p>
        </w:tc>
        <w:tc>
          <w:tcPr/>
          <w:p>
            <w:pPr>
              <w:pStyle w:val="Compact"/>
            </w:pPr>
            <w:r>
              <w:t xml:space="preserve">Gridding Convention</w:t>
            </w:r>
          </w:p>
        </w:tc>
        <w:tc>
          <w:tcPr/>
          <w:p>
            <w:pPr>
              <w:pStyle w:val="Compact"/>
            </w:pPr>
          </w:p>
        </w:tc>
        <w:tc>
          <w:tcPr/>
          <w:p>
            <w:pPr>
              <w:pStyle w:val="Compact"/>
            </w:pPr>
          </w:p>
        </w:tc>
      </w:tr>
    </w:tbl>
    <w:p>
      <w:r>
        <w:br w:type="page"/>
      </w:r>
    </w:p>
    <w:bookmarkEnd w:id="269"/>
    <w:bookmarkEnd w:id="270"/>
    <w:bookmarkStart w:id="275"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71"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71"/>
    <w:bookmarkStart w:id="273"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9"/>
        </w:numPr>
      </w:pPr>
      <w:r>
        <w:t xml:space="preserve">that product has been assessed as meeting CEOS-ARD requirements by the agency responsible for production and distribution of the product, and</w:t>
      </w:r>
    </w:p>
    <w:p>
      <w:pPr>
        <w:pStyle w:val="Compact"/>
        <w:numPr>
          <w:ilvl w:val="0"/>
          <w:numId w:val="1099"/>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72">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73"/>
    <w:bookmarkStart w:id="274"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74"/>
    <w:bookmarkEnd w:id="275"/>
    <w:bookmarkStart w:id="294" w:name="references"/>
    <w:p>
      <w:pPr>
        <w:pStyle w:val="berschrift2"/>
      </w:pPr>
      <w:r>
        <w:t xml:space="preserve">References</w:t>
      </w:r>
    </w:p>
    <w:bookmarkStart w:id="293" w:name="refs"/>
    <w:bookmarkStart w:id="276"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76"/>
    <w:bookmarkStart w:id="278"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77">
        <w:r>
          <w:rPr>
            <w:rStyle w:val="Hyperlink"/>
          </w:rPr>
          <w:t xml:space="preserve">https://doi.org/10.1109/TGRS.2008.2002881</w:t>
        </w:r>
      </w:hyperlink>
      <w:r>
        <w:t xml:space="preserve">.</w:t>
      </w:r>
    </w:p>
    <w:bookmarkEnd w:id="278"/>
    <w:bookmarkStart w:id="280"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79">
        <w:r>
          <w:rPr>
            <w:rStyle w:val="Hyperlink"/>
          </w:rPr>
          <w:t xml:space="preserve">https://doi.org/10.1029/2011JE003986</w:t>
        </w:r>
      </w:hyperlink>
      <w:r>
        <w:t xml:space="preserve">.</w:t>
      </w:r>
    </w:p>
    <w:bookmarkEnd w:id="280"/>
    <w:bookmarkStart w:id="282"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81">
        <w:r>
          <w:rPr>
            <w:rStyle w:val="Hyperlink"/>
          </w:rPr>
          <w:t xml:space="preserve">https://doi.org/10.1109/TGRS.2022.3147472</w:t>
        </w:r>
      </w:hyperlink>
      <w:r>
        <w:t xml:space="preserve">.</w:t>
      </w:r>
    </w:p>
    <w:bookmarkEnd w:id="282"/>
    <w:bookmarkStart w:id="284"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83">
        <w:r>
          <w:rPr>
            <w:rStyle w:val="Hyperlink"/>
          </w:rPr>
          <w:t xml:space="preserve">https://doi.org/10.1109/TGRS.2011.2120616</w:t>
        </w:r>
      </w:hyperlink>
      <w:r>
        <w:t xml:space="preserve">.</w:t>
      </w:r>
    </w:p>
    <w:bookmarkEnd w:id="284"/>
    <w:bookmarkStart w:id="286"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85">
        <w:r>
          <w:rPr>
            <w:rStyle w:val="Hyperlink"/>
          </w:rPr>
          <w:t xml:space="preserve">https://doi.org/10.1109/TGRS.2010.2099124</w:t>
        </w:r>
      </w:hyperlink>
      <w:r>
        <w:t xml:space="preserve">.</w:t>
      </w:r>
    </w:p>
    <w:bookmarkEnd w:id="286"/>
    <w:bookmarkStart w:id="288"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87">
        <w:r>
          <w:rPr>
            <w:rStyle w:val="Hyperlink"/>
          </w:rPr>
          <w:t xml:space="preserve">https://doi.org/10.1109/LGRS.2017.2753580</w:t>
        </w:r>
      </w:hyperlink>
      <w:r>
        <w:t xml:space="preserve">.</w:t>
      </w:r>
    </w:p>
    <w:bookmarkEnd w:id="288"/>
    <w:bookmarkStart w:id="290"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89">
        <w:r>
          <w:rPr>
            <w:rStyle w:val="Hyperlink"/>
          </w:rPr>
          <w:t xml:space="preserve">https://doi.org/10.1109/TGRS.2010.2051333</w:t>
        </w:r>
      </w:hyperlink>
      <w:r>
        <w:t xml:space="preserve">.</w:t>
      </w:r>
    </w:p>
    <w:bookmarkEnd w:id="290"/>
    <w:bookmarkStart w:id="292" w:name="ref-zheng2017"/>
    <w:p>
      <w:pPr>
        <w:pStyle w:val="Literaturverzeichnis"/>
      </w:pPr>
      <w:r>
        <w:t xml:space="preserve">Zheng, Yujie, and Howard Zebker. 2017.</w:t>
      </w:r>
      <w:r>
        <w:t xml:space="preserve"> </w:t>
      </w:r>
      <w:r>
        <w:t xml:space="preserve">“Phase Correction of Single-Look Complex Radar Images for User-Friendly Efficient Interferogram Formation.”</w:t>
      </w:r>
      <w:r>
        <w:t xml:space="preserve"> </w:t>
      </w:r>
      <w:r>
        <w:rPr>
          <w:i/>
          <w:iCs/>
        </w:rPr>
        <w:t xml:space="preserve">IEEE Journal of Selected Topics in Applied Earth Observations and Remote Sensing</w:t>
      </w:r>
      <w:r>
        <w:t xml:space="preserve"> </w:t>
      </w:r>
      <w:r>
        <w:t xml:space="preserve">PP (May): 1–8.</w:t>
      </w:r>
      <w:r>
        <w:t xml:space="preserve"> </w:t>
      </w:r>
      <w:hyperlink r:id="rId291">
        <w:r>
          <w:rPr>
            <w:rStyle w:val="Hyperlink"/>
          </w:rPr>
          <w:t xml:space="preserve">https://doi.org/10.1109/JSTARS.2017.2697861</w:t>
        </w:r>
      </w:hyperlink>
      <w:r>
        <w:t xml:space="preserve">.</w:t>
      </w:r>
    </w:p>
    <w:bookmarkEnd w:id="292"/>
    <w:bookmarkEnd w:id="293"/>
    <w:p>
      <w:r>
        <w:br w:type="page"/>
      </w:r>
    </w:p>
    <w:bookmarkEnd w:id="294"/>
    <w:bookmarkStart w:id="348" w:name="annexes"/>
    <w:p>
      <w:pPr>
        <w:pStyle w:val="berschrift2"/>
      </w:pPr>
      <w:r>
        <w:t xml:space="preserve">Annexes</w:t>
      </w:r>
    </w:p>
    <w:bookmarkStart w:id="296"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100"/>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100"/>
        </w:numPr>
      </w:pPr>
      <w:r>
        <w:t xml:space="preserve">Apply instrument calibration to produce Beta-Nought values with high fidelity.</w:t>
      </w:r>
    </w:p>
    <w:p>
      <w:pPr>
        <w:pStyle w:val="Compact"/>
        <w:numPr>
          <w:ilvl w:val="0"/>
          <w:numId w:val="1100"/>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100"/>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Lavalle, and Buckley 2022</w:t>
        </w:r>
      </w:hyperlink>
      <w:r>
        <w:t xml:space="preserve">)</w:t>
      </w:r>
      <w:r>
        <w:t xml:space="preserve">.</w:t>
      </w:r>
    </w:p>
    <w:p>
      <w:pPr>
        <w:pStyle w:val="Compact"/>
        <w:numPr>
          <w:ilvl w:val="0"/>
          <w:numId w:val="1100"/>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100"/>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100"/>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100"/>
        </w:numPr>
      </w:pPr>
      <w:r>
        <w:t xml:space="preserve">Generate CEOS format metadata to accompany product layers.</w:t>
      </w:r>
    </w:p>
    <w:p>
      <w:pPr>
        <w:pStyle w:val="Compact"/>
        <w:numPr>
          <w:ilvl w:val="0"/>
          <w:numId w:val="1100"/>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95"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w:t>
            </w:r>
            <w:r>
              <w:t xml:space="preserve"> </w:t>
            </w:r>
            <w:r>
              <w:t xml:space="preserve">‘DEF’</w:t>
            </w:r>
            <w:r>
              <w:t xml:space="preserve">,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95"/>
    <w:bookmarkEnd w:id="296"/>
    <w:bookmarkStart w:id="308"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t>Δ</m:t>
        </m:r>
        <m:sSub>
          <m:e>
            <m:r>
              <m:t>φ</m:t>
            </m:r>
          </m:e>
          <m:sub>
            <m:r>
              <m:t>1</m:t>
            </m:r>
            <m:r>
              <m:rPr>
                <m:sty m:val="p"/>
              </m:rPr>
              <m:t>−</m:t>
            </m:r>
            <m:r>
              <m:t>2</m:t>
            </m:r>
          </m:sub>
        </m:sSub>
      </m:oMath>
      <w:r>
        <w:t xml:space="preserve"> </w:t>
      </w:r>
      <w:r>
        <w:t xml:space="preserve">between two SAR acquisitions is composed of a topographic phase</w:t>
      </w:r>
      <w:r>
        <w:t xml:space="preserve"> </w:t>
      </w:r>
      <m:oMath>
        <m: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297" w:name="eq:sar-topographic-phase-removal-eq1"/>
      <m:oMathPara>
        <m:oMathParaPr>
          <m:jc m:val="center"/>
        </m:oMathParaPr>
        <m:oMath>
          <m:r>
            <m:t>Δ</m:t>
          </m:r>
          <m:sSub>
            <m:e>
              <m:r>
                <m:t>φ</m:t>
              </m:r>
            </m:e>
            <m:sub>
              <m:r>
                <m:t>1</m:t>
              </m:r>
              <m:r>
                <m:rPr>
                  <m:sty m:val="p"/>
                </m:rPr>
                <m:t>−</m:t>
              </m:r>
              <m:r>
                <m:t>2</m:t>
              </m:r>
            </m:sub>
          </m:sSub>
          <m:r>
            <m:rPr>
              <m:sty m:val="p"/>
            </m:rPr>
            <m:t>=</m:t>
          </m:r>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t>  </m:t>
          </m:r>
          <m:d>
            <m:dPr>
              <m:begChr m:val="("/>
              <m:sepChr m:val=""/>
              <m:endChr m:val=")"/>
              <m:grow/>
            </m:dPr>
            <m:e>
              <m:r>
                <m:t>1</m:t>
              </m:r>
            </m:e>
          </m:d>
        </m:oMath>
      </m:oMathPara>
      <w:bookmarkEnd w:id="297"/>
    </w:p>
    <w:p>
      <w:pPr>
        <w:pStyle w:val="FirstParagraph"/>
      </w:pPr>
      <w:r>
        <w:t xml:space="preserve">Where</w:t>
      </w:r>
    </w:p>
    <w:p>
      <w:pPr>
        <w:pStyle w:val="Textkrper"/>
      </w:pPr>
      <w:bookmarkStart w:id="298" w:name="eq:sar-topographic-phase-removal-eq2"/>
      <m:oMathPara>
        <m:oMathParaPr>
          <m:jc m:val="center"/>
        </m:oMathParaPr>
        <m:oMath>
          <m: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2</m:t>
              </m:r>
            </m:e>
          </m:d>
        </m:oMath>
      </m:oMathPara>
      <w:bookmarkEnd w:id="298"/>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101"/>
        </w:numPr>
      </w:pPr>
      <w:r>
        <w:t xml:space="preserve">The use of a virtual circular orbit above a nonrotating planet</w:t>
      </w:r>
      <w:r>
        <w:t xml:space="preserve"> </w:t>
      </w:r>
      <w:r>
        <w:t xml:space="preserve">(</w:t>
      </w:r>
      <w:hyperlink w:anchor="ref-zebker2010">
        <w:r>
          <w:rPr>
            <w:rStyle w:val="Hyperlink"/>
          </w:rPr>
          <w:t xml:space="preserve">H. A. Zebker et al. 2010</w:t>
        </w:r>
      </w:hyperlink>
      <w:r>
        <w:t xml:space="preserve">)</w:t>
      </w:r>
    </w:p>
    <w:p>
      <w:pPr>
        <w:pStyle w:val="Compact"/>
        <w:numPr>
          <w:ilvl w:val="0"/>
          <w:numId w:val="1101"/>
        </w:numPr>
      </w:pPr>
      <w:r>
        <w:t xml:space="preserve">The use of a specific orbit cycle or a simulated orbit of the SAR mission</w:t>
      </w:r>
    </w:p>
    <w:p>
      <w:pPr>
        <w:pStyle w:val="FirstParagraph"/>
      </w:pPr>
      <w:r>
        <w:t xml:space="preserve">In both cases, the InSAR topographic phase</w:t>
      </w:r>
      <w:r>
        <w:t xml:space="preserve"> </w:t>
      </w:r>
      <m:oMath>
        <m: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299"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t>  </m:t>
          </m:r>
          <m:d>
            <m:dPr>
              <m:begChr m:val="("/>
              <m:sepChr m:val=""/>
              <m:endChr m:val=")"/>
              <m:grow/>
            </m:dPr>
            <m:e>
              <m:r>
                <m:t>3</m:t>
              </m:r>
            </m:e>
          </m:d>
        </m:oMath>
      </m:oMathPara>
      <w:bookmarkEnd w:id="299"/>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H. A. 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sSup>
            <m:e>
              <m:d>
                <m:dPr>
                  <m:begChr m:val="|"/>
                  <m:sepChr m:val=""/>
                  <m:endChr m:val="|"/>
                  <m:grow/>
                </m:dPr>
                <m:e>
                  <m:r>
                    <m:t>G</m:t>
                  </m:r>
                  <m:r>
                    <m:t>S</m:t>
                  </m:r>
                  <m:r>
                    <m:t>L</m:t>
                  </m:r>
                  <m:r>
                    <m:t>C</m:t>
                  </m:r>
                </m:e>
              </m:d>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d>
            <m:dPr>
              <m:begChr m:val="("/>
              <m:sepChr m:val=""/>
              <m:endChr m:val=")"/>
              <m:grow/>
            </m:dPr>
            <m:e>
              <m:r>
                <m:t>G</m:t>
              </m:r>
              <m:r>
                <m:t>S</m:t>
              </m:r>
              <m:r>
                <m:t>L</m:t>
              </m:r>
              <m:r>
                <m:t>C</m:t>
              </m:r>
            </m:e>
          </m:d>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300"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d>
            <m:dPr>
              <m:begChr m:val="("/>
              <m:sepChr m:val=""/>
              <m:endChr m:val=")"/>
              <m:grow/>
            </m:dPr>
            <m:e>
              <m:r>
                <m:t>4</m:t>
              </m:r>
            </m:e>
          </m:d>
        </m:oMath>
      </m:oMathPara>
      <w:bookmarkEnd w:id="300"/>
    </w:p>
    <w:p>
      <w:pPr>
        <w:pStyle w:val="FirstParagraph"/>
      </w:pPr>
      <w:bookmarkStart w:id="301"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5</m:t>
              </m:r>
            </m:e>
          </m:d>
        </m:oMath>
      </m:oMathPara>
      <w:bookmarkEnd w:id="301"/>
    </w:p>
    <w:p>
      <w:pPr>
        <w:pStyle w:val="FirstParagraph"/>
      </w:pPr>
      <w:r>
        <w:t xml:space="preserve">The differential phase is</w:t>
      </w:r>
    </w:p>
    <w:p>
      <w:pPr>
        <w:pStyle w:val="Textkrper"/>
      </w:pPr>
      <w:bookmarkStart w:id="302" w:name="eq:sar-topographic-phase-removal-eq6"/>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d>
            <m:dPr>
              <m:begChr m:val="("/>
              <m:sepChr m:val=""/>
              <m:endChr m:val=")"/>
              <m:grow/>
            </m:dPr>
            <m:e>
              <m:r>
                <m:t>6</m:t>
              </m:r>
            </m:e>
          </m:d>
        </m:oMath>
      </m:oMathPara>
      <w:bookmarkEnd w:id="302"/>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303" w:name="eq:sar-topographic-phase-removal-eq7"/>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e>
          </m:d>
          <m:r>
            <m:rPr>
              <m:sty m:val="p"/>
            </m:rPr>
            <m:t>−</m:t>
          </m:r>
          <m:d>
            <m:dPr>
              <m:begChr m:val="("/>
              <m:sepChr m:val=""/>
              <m:endChr m:val=")"/>
              <m:grow/>
            </m:dPr>
            <m:e>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e>
          </m:d>
          <m:r>
            <m:t>  </m:t>
          </m:r>
          <m:d>
            <m:dPr>
              <m:begChr m:val="("/>
              <m:sepChr m:val=""/>
              <m:endChr m:val=")"/>
              <m:grow/>
            </m:dPr>
            <m:e>
              <m:r>
                <m:t>7</m:t>
              </m:r>
            </m:e>
          </m:d>
        </m:oMath>
      </m:oMathPara>
      <w:bookmarkEnd w:id="303"/>
    </w:p>
    <w:p>
      <w:pPr>
        <w:pStyle w:val="FirstParagraph"/>
      </w:pPr>
      <w:bookmarkStart w:id="304" w:name="eq:sar-topographic-phase-removal-eq8"/>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e>
          </m:d>
          <m:r>
            <m:rPr>
              <m:sty m:val="p"/>
            </m:rPr>
            <m:t>−</m:t>
          </m:r>
          <m:d>
            <m:dPr>
              <m:begChr m:val="("/>
              <m:sepChr m:val=""/>
              <m:endChr m:val=")"/>
              <m:grow/>
            </m:dPr>
            <m:e>
              <m:sSub>
                <m:e>
                  <m:r>
                    <m:t>φ</m:t>
                  </m:r>
                </m:e>
                <m:sub>
                  <m:r>
                    <m:rPr>
                      <m:nor/>
                      <m:sty m:val="p"/>
                    </m:rPr>
                    <m:t>DEM</m:t>
                  </m:r>
                  <m:r>
                    <m:rPr>
                      <m:sty m:val="p"/>
                    </m:rPr>
                    <m:t>_</m:t>
                  </m:r>
                  <m:r>
                    <m:rPr>
                      <m:nor/>
                      <m:sty m:val="p"/>
                    </m:rPr>
                    <m:t>SLC</m:t>
                  </m:r>
                  <m:r>
                    <m:rPr>
                      <m:sty m:val="p"/>
                    </m:rPr>
                    <m:t>_</m:t>
                  </m:r>
                  <m:r>
                    <m:t>1</m:t>
                  </m:r>
                </m:sub>
              </m:sSub>
            </m:e>
          </m:d>
          <m:r>
            <m:rPr>
              <m:sty m:val="p"/>
            </m:rPr>
            <m:t>−</m:t>
          </m:r>
          <m:sSub>
            <m:e>
              <m:r>
                <m:t>φ</m:t>
              </m:r>
            </m:e>
            <m:sub>
              <m:r>
                <m:rPr>
                  <m:nor/>
                  <m:sty m:val="p"/>
                </m:rPr>
                <m:t>DEM</m:t>
              </m:r>
              <m:r>
                <m:rPr>
                  <m:sty m:val="p"/>
                </m:rPr>
                <m:t>_</m:t>
              </m:r>
              <m:r>
                <m:rPr>
                  <m:nor/>
                  <m:sty m:val="p"/>
                </m:rPr>
                <m:t>SLC</m:t>
              </m:r>
              <m:r>
                <m:rPr>
                  <m:sty m:val="p"/>
                </m:rPr>
                <m:t>_</m:t>
              </m:r>
              <m:r>
                <m:t>2</m:t>
              </m:r>
            </m:sub>
          </m:sSub>
          <m:r>
            <m:rPr>
              <m:sty m:val="p"/>
            </m:rPr>
            <m:t>)</m:t>
          </m:r>
          <m:r>
            <m:t>  </m:t>
          </m:r>
          <m:d>
            <m:dPr>
              <m:begChr m:val="("/>
              <m:sepChr m:val=""/>
              <m:endChr m:val=")"/>
              <m:grow/>
            </m:dPr>
            <m:e>
              <m:r>
                <m:t>8</m:t>
              </m:r>
            </m:e>
          </m:d>
        </m:oMath>
      </m:oMathPara>
      <w:bookmarkEnd w:id="304"/>
    </w:p>
    <w:p>
      <w:pPr>
        <w:pStyle w:val="FirstParagraph"/>
      </w:pPr>
      <w:bookmarkStart w:id="305" w:name="eq:sar-topographic-phase-removal-eq9"/>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9</m:t>
              </m:r>
            </m:e>
          </m:d>
        </m:oMath>
      </m:oMathPara>
      <w:bookmarkEnd w:id="305"/>
    </w:p>
    <w:p>
      <w:pPr>
        <w:pStyle w:val="FirstParagraph"/>
      </w:pPr>
      <w:r>
        <w:t xml:space="preserve">Where</w:t>
      </w:r>
      <w:r>
        <w:t xml:space="preserve"> </w:t>
      </w:r>
      <m:oMath>
        <m: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306" w:name="eq:sar-topographic-phase-removal-eq10"/>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e>
          </m:d>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10</m:t>
              </m:r>
            </m:e>
          </m:d>
        </m:oMath>
      </m:oMathPara>
      <w:bookmarkEnd w:id="306"/>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307" w:name="eq:sar-topographic-phase-removal-eq11"/>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rPr>
              <m:sty m:val="p"/>
            </m:rPr>
            <m:t>)</m:t>
          </m:r>
          <m:r>
            <m:t>  </m:t>
          </m:r>
          <m:d>
            <m:dPr>
              <m:begChr m:val="("/>
              <m:sepChr m:val=""/>
              <m:endChr m:val=")"/>
              <m:grow/>
            </m:dPr>
            <m:e>
              <m:r>
                <m:t>11</m:t>
              </m:r>
            </m:e>
          </m:d>
        </m:oMath>
      </m:oMathPara>
      <w:bookmarkEnd w:id="307"/>
    </w:p>
    <w:bookmarkEnd w:id="308"/>
    <w:bookmarkStart w:id="315"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309"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sSup>
                      <m:e>
                        <m:d>
                          <m:dPr>
                            <m:begChr m:val="|"/>
                            <m:sepChr m:val=""/>
                            <m:endChr m:val="|"/>
                            <m:grow/>
                          </m:dPr>
                          <m:e>
                            <m:r>
                              <m:rPr>
                                <m:sty m:val="b"/>
                              </m:rPr>
                              <m:t>H</m:t>
                            </m:r>
                            <m:r>
                              <m:rPr>
                                <m:sty m:val="b"/>
                              </m:rPr>
                              <m:t>V</m:t>
                            </m:r>
                          </m:e>
                        </m:d>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12</m:t>
              </m:r>
            </m:e>
          </m:d>
        </m:oMath>
      </m:oMathPara>
      <w:bookmarkEnd w:id="309"/>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310"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sSup>
                      <m:e>
                        <m:d>
                          <m:dPr>
                            <m:begChr m:val="|"/>
                            <m:sepChr m:val=""/>
                            <m:endChr m:val="|"/>
                            <m:grow/>
                          </m:dPr>
                          <m:e>
                            <m:r>
                              <m:rPr>
                                <m:sty m:val="b"/>
                              </m:rPr>
                              <m:t>H</m:t>
                            </m:r>
                            <m:r>
                              <m:rPr>
                                <m:sty m:val="b"/>
                              </m:rPr>
                              <m:t>V</m:t>
                            </m:r>
                          </m:e>
                        </m:d>
                      </m:e>
                      <m:sup>
                        <m:r>
                          <m:t>2</m:t>
                        </m:r>
                      </m:sup>
                    </m:sSup>
                  </m:e>
                </m:mr>
              </m:m>
            </m:e>
          </m:d>
          <m:r>
            <m:t>  </m:t>
          </m:r>
          <m:d>
            <m:dPr>
              <m:begChr m:val="("/>
              <m:sepChr m:val=""/>
              <m:endChr m:val=")"/>
              <m:grow/>
            </m:dPr>
            <m:e>
              <m:r>
                <m:t>13</m:t>
              </m:r>
            </m:e>
          </m:d>
        </m:oMath>
      </m:oMathPara>
      <w:bookmarkEnd w:id="310"/>
    </w:p>
    <w:p>
      <w:pPr>
        <w:pStyle w:val="FirstParagraph"/>
      </w:pPr>
      <w:bookmarkStart w:id="311"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V</m:t>
                            </m:r>
                            <m:r>
                              <m:rPr>
                                <m:sty m:val="b"/>
                              </m:rPr>
                              <m:t>H</m:t>
                            </m:r>
                          </m:e>
                        </m:d>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14</m:t>
              </m:r>
            </m:e>
          </m:d>
        </m:oMath>
      </m:oMathPara>
      <w:bookmarkEnd w:id="311"/>
    </w:p>
    <w:p>
      <w:pPr>
        <w:pStyle w:val="FirstParagraph"/>
      </w:pPr>
      <w:bookmarkStart w:id="312"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C</m:t>
                            </m:r>
                            <m:r>
                              <m:rPr>
                                <m:sty m:val="b"/>
                              </m:rPr>
                              <m:t>H</m:t>
                            </m:r>
                          </m:e>
                        </m:d>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sSup>
                      <m:e>
                        <m:d>
                          <m:dPr>
                            <m:begChr m:val="|"/>
                            <m:sepChr m:val=""/>
                            <m:endChr m:val="|"/>
                            <m:grow/>
                          </m:dPr>
                          <m:e>
                            <m:r>
                              <m:rPr>
                                <m:sty m:val="b"/>
                              </m:rPr>
                              <m:t>C</m:t>
                            </m:r>
                            <m:r>
                              <m:rPr>
                                <m:sty m:val="b"/>
                              </m:rPr>
                              <m:t>V</m:t>
                            </m:r>
                          </m:e>
                        </m:d>
                      </m:e>
                      <m:sup>
                        <m:r>
                          <m:t>2</m:t>
                        </m:r>
                      </m:sup>
                    </m:sSup>
                  </m:e>
                </m:mr>
              </m:m>
            </m:e>
          </m:d>
          <m:r>
            <m:t>  </m:t>
          </m:r>
          <m:d>
            <m:dPr>
              <m:begChr m:val="("/>
              <m:sepChr m:val=""/>
              <m:endChr m:val=")"/>
              <m:grow/>
            </m:dPr>
            <m:e>
              <m:r>
                <m:t>15</m:t>
              </m:r>
            </m:e>
          </m:d>
        </m:oMath>
      </m:oMathPara>
      <w:bookmarkEnd w:id="312"/>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w:t>
      </w:r>
      <w:r>
        <w:t xml:space="preserve"> </w:t>
      </w:r>
      <w:r>
        <w:t xml:space="preserve">“&lt; &gt;”</w:t>
      </w:r>
      <w:r>
        <w:t xml:space="preserve"> </w:t>
      </w:r>
      <w:r>
        <w:t xml:space="preserve">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313"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p"/>
                              </m:rPr>
                              <m:t>⟨</m:t>
                            </m:r>
                            <m:r>
                              <m:rPr>
                                <m:sty m:val="b"/>
                              </m:rPr>
                              <m:t>H</m:t>
                            </m:r>
                            <m:r>
                              <m:rPr>
                                <m:sty m:val="b"/>
                              </m:rPr>
                              <m:t>H</m:t>
                            </m:r>
                          </m:e>
                        </m:d>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sSup>
                      <m:e>
                        <m:d>
                          <m:dPr>
                            <m:begChr m:val="|"/>
                            <m:sepChr m:val=""/>
                            <m:endChr m:val="|"/>
                            <m:grow/>
                          </m:dPr>
                          <m:e>
                            <m:r>
                              <m:rPr>
                                <m:sty m:val="b"/>
                              </m:rPr>
                              <m:t>H</m:t>
                            </m:r>
                            <m:r>
                              <m:rPr>
                                <m:sty m:val="b"/>
                              </m:rPr>
                              <m:t>V</m:t>
                            </m:r>
                          </m:e>
                        </m:d>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sSup>
                      <m:e>
                        <m:d>
                          <m:dPr>
                            <m:begChr m:val="|"/>
                            <m:sepChr m:val=""/>
                            <m:endChr m:val="|"/>
                            <m:grow/>
                          </m:dPr>
                          <m:e>
                            <m:r>
                              <m:rPr>
                                <m:sty m:val="b"/>
                              </m:rPr>
                              <m:t>V</m:t>
                            </m:r>
                            <m:r>
                              <m:rPr>
                                <m:sty m:val="b"/>
                              </m:rPr>
                              <m:t>V</m:t>
                            </m:r>
                          </m:e>
                        </m:d>
                      </m:e>
                      <m:sup>
                        <m:r>
                          <m:t>2</m:t>
                        </m:r>
                      </m:sup>
                    </m:sSup>
                    <m:r>
                      <m:rPr>
                        <m:sty m:val="p"/>
                      </m:rPr>
                      <m:t>⟩</m:t>
                    </m:r>
                  </m:e>
                </m:mr>
              </m:m>
            </m:e>
          </m:d>
          <m:r>
            <m:t>  </m:t>
          </m:r>
          <m:d>
            <m:dPr>
              <m:begChr m:val="("/>
              <m:sepChr m:val=""/>
              <m:endChr m:val=")"/>
              <m:grow/>
            </m:dPr>
            <m:e>
              <m:r>
                <m:t>16</m:t>
              </m:r>
            </m:e>
          </m:d>
        </m:oMath>
      </m:oMathPara>
      <w:bookmarkEnd w:id="313"/>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314"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p>
                      <m:e>
                        <m:d>
                          <m:dPr>
                            <m:begChr m:val="|"/>
                            <m:sepChr m:val=""/>
                            <m:endChr m:val="|"/>
                            <m:grow/>
                          </m:dPr>
                          <m:e>
                            <m:r>
                              <m:rPr>
                                <m:sty m:val="b"/>
                              </m:rPr>
                              <m:t>R</m:t>
                            </m:r>
                            <m:r>
                              <m:rPr>
                                <m:sty m:val="b"/>
                              </m:rPr>
                              <m:t>R</m:t>
                            </m:r>
                          </m:e>
                        </m:d>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sSup>
                      <m:e>
                        <m:d>
                          <m:dPr>
                            <m:begChr m:val="|"/>
                            <m:sepChr m:val=""/>
                            <m:endChr m:val="|"/>
                            <m:grow/>
                          </m:dPr>
                          <m:e>
                            <m:r>
                              <m:rPr>
                                <m:sty m:val="b"/>
                              </m:rPr>
                              <m:t>R</m:t>
                            </m:r>
                            <m:r>
                              <m:rPr>
                                <m:sty m:val="b"/>
                              </m:rPr>
                              <m:t>L</m:t>
                            </m:r>
                          </m:e>
                        </m:d>
                      </m:e>
                      <m:sup>
                        <m:r>
                          <m:t>2</m:t>
                        </m:r>
                      </m:sup>
                    </m:sSup>
                    <m:r>
                      <m:rPr>
                        <m:sty m:val="p"/>
                      </m:rPr>
                      <m:t>⟩</m:t>
                    </m:r>
                  </m:e>
                </m:mr>
              </m:m>
            </m:e>
          </m:d>
          <m:r>
            <m:t>  </m:t>
          </m:r>
          <m:d>
            <m:dPr>
              <m:begChr m:val="("/>
              <m:sepChr m:val=""/>
              <m:endChr m:val=")"/>
              <m:grow/>
            </m:dPr>
            <m:e>
              <m:r>
                <m:t>17</m:t>
              </m:r>
            </m:e>
          </m:d>
        </m:oMath>
      </m:oMathPara>
      <w:bookmarkEnd w:id="314"/>
    </w:p>
    <w:bookmarkEnd w:id="315"/>
    <w:bookmarkStart w:id="347" w:name="sec:annex-sar-gslc-example"/>
    <w:p>
      <w:pPr>
        <w:pStyle w:val="berschrift3"/>
      </w:pPr>
      <w:r>
        <w:t xml:space="preserve">Geocoded Single-Look Complex example</w:t>
      </w:r>
    </w:p>
    <w:p>
      <w:pPr>
        <w:pStyle w:val="FirstParagraph"/>
      </w:pPr>
      <w:r>
        <w:t xml:space="preserve">In contrast to basic NRB and</w:t>
      </w:r>
      <w:r>
        <w:t xml:space="preserve"> </w:t>
      </w:r>
      <w:r>
        <w:rPr>
          <w:b/>
          <w:bCs/>
        </w:rPr>
        <w:t xml:space="preserve">POL products</w:t>
      </w:r>
      <w:r>
        <w:t xml:space="preserve">, CEOS-ARD Geocoded SLC GSLC products are kept close to the native resolution in complex data format for which local topographic InSAR phases, relative to a reference orbit</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have been removed. Having a volume of GSLC products acquired over repeat cycles, already radiometric and phase terrain corrected and geocoded (Figures </w:t>
      </w:r>
      <w:hyperlink w:anchor="fig:sar-gslc-example-fig1a">
        <w:r>
          <w:rPr>
            <w:rStyle w:val="Hyperlink"/>
          </w:rPr>
          <w:t xml:space="preserve">1</w:t>
        </w:r>
      </w:hyperlink>
      <w:r>
        <w:t xml:space="preserve">,</w:t>
      </w:r>
      <w:r>
        <w:t xml:space="preserve"> </w:t>
      </w:r>
      <w:hyperlink w:anchor="fig:sar-gslc-example-fig1b">
        <w:r>
          <w:rPr>
            <w:rStyle w:val="Hyperlink"/>
          </w:rPr>
          <w:t xml:space="preserve">2</w:t>
        </w:r>
      </w:hyperlink>
      <w:r>
        <w:t xml:space="preserve">), allows user-friendly production of a first iteration of the InSAR coherence (Eq. </w:t>
      </w:r>
      <w:hyperlink w:anchor="eq:sar-gslc-example-eq1">
        <w:r>
          <w:rPr>
            <w:rStyle w:val="Hyperlink"/>
          </w:rPr>
          <w:t xml:space="preserve">18</w:t>
        </w:r>
      </w:hyperlink>
      <w:r>
        <w:t xml:space="preserve">, Figure </w:t>
      </w:r>
      <w:hyperlink w:anchor="fig:sar-gslc-example-fig1c">
        <w:r>
          <w:rPr>
            <w:rStyle w:val="Hyperlink"/>
          </w:rPr>
          <w:t xml:space="preserve">3</w:t>
        </w:r>
      </w:hyperlink>
      <w:r>
        <w:t xml:space="preserve">) and differential phases (Eq. </w:t>
      </w:r>
      <w:hyperlink w:anchor="eq:sar-gslc-example-eq2">
        <w:r>
          <w:rPr>
            <w:rStyle w:val="Hyperlink"/>
          </w:rPr>
          <w:t xml:space="preserve">19</w:t>
        </w:r>
      </w:hyperlink>
      <w:r>
        <w:t xml:space="preserve">, Figure </w:t>
      </w:r>
      <w:hyperlink w:anchor="fig:sar-gslc-example-fig1d">
        <w:r>
          <w:rPr>
            <w:rStyle w:val="Hyperlink"/>
          </w:rPr>
          <w:t xml:space="preserve">4</w:t>
        </w:r>
      </w:hyperlink>
      <w:r>
        <w:t xml:space="preserve">) in between GSLC pairs, simply by applying local averaging window over the product of a GSLC product (GSLC1) with the complex conjugate of a second GSLC (GSLC2) divided by their local averaged intensities. These intermediate files could be used for coherent change detection analysis and surface displacement monitoring.</w:t>
      </w:r>
    </w:p>
    <w:p>
      <w:pPr>
        <w:pStyle w:val="Textkrper"/>
      </w:pPr>
      <w:bookmarkStart w:id="316" w:name="eq:sar-gslc-example-eq1"/>
      <m:oMathPara>
        <m:oMathParaPr>
          <m:jc m:val="center"/>
        </m:oMathParaPr>
        <m:oMath>
          <m:r>
            <m:rPr>
              <m:nor/>
              <m:sty m:val="p"/>
            </m:rPr>
            <m:t>Complex coherence:</m:t>
          </m:r>
          <m:r>
            <m:t> </m:t>
          </m:r>
          <m:r>
            <m:t>ρ</m:t>
          </m:r>
          <m:r>
            <m:rPr>
              <m:sty m:val="p"/>
            </m:rPr>
            <m:t>=</m:t>
          </m:r>
          <m:f>
            <m:fPr>
              <m:type m:val="bar"/>
            </m:fPr>
            <m:num>
              <m:r>
                <m:rPr>
                  <m:sty m:val="p"/>
                </m:rPr>
                <m:t>∑</m:t>
              </m:r>
              <m:d>
                <m:dPr>
                  <m:begChr m:val="["/>
                  <m:sepChr m:val=""/>
                  <m:endChr m:val="]"/>
                  <m:grow/>
                </m:dPr>
                <m:e>
                  <m:r>
                    <m:t>G</m:t>
                  </m:r>
                  <m:r>
                    <m:t>S</m:t>
                  </m:r>
                  <m:r>
                    <m:t>L</m:t>
                  </m:r>
                  <m:sSub>
                    <m:e>
                      <m:r>
                        <m:t>C</m:t>
                      </m:r>
                    </m:e>
                    <m:sub>
                      <m:r>
                        <m:t>1</m:t>
                      </m:r>
                    </m:sub>
                  </m:sSub>
                  <m:r>
                    <m:rPr>
                      <m:sty m:val="p"/>
                    </m:rPr>
                    <m:t>*</m:t>
                  </m:r>
                  <m:r>
                    <m:t>c</m:t>
                  </m:r>
                  <m:r>
                    <m:t>o</m:t>
                  </m:r>
                  <m:r>
                    <m:t>n</m:t>
                  </m:r>
                  <m:r>
                    <m:t>j</m:t>
                  </m:r>
                  <m:d>
                    <m:dPr>
                      <m:begChr m:val="("/>
                      <m:sepChr m:val=""/>
                      <m:endChr m:val=")"/>
                      <m:grow/>
                    </m:dPr>
                    <m:e>
                      <m:r>
                        <m:t>G</m:t>
                      </m:r>
                      <m:r>
                        <m:t>S</m:t>
                      </m:r>
                      <m:r>
                        <m:t>L</m:t>
                      </m:r>
                      <m:sSub>
                        <m:e>
                          <m:r>
                            <m:t>C</m:t>
                          </m:r>
                        </m:e>
                        <m:sub>
                          <m:r>
                            <m:t>2</m:t>
                          </m:r>
                        </m:sub>
                      </m:sSub>
                    </m:e>
                  </m:d>
                </m:e>
              </m:d>
            </m:num>
            <m:den>
              <m:rad>
                <m:radPr>
                  <m:degHide m:val="on"/>
                </m:radPr>
                <m:deg/>
                <m:e>
                  <m:r>
                    <m:rPr>
                      <m:sty m:val="p"/>
                    </m:rPr>
                    <m:t>∑</m:t>
                  </m:r>
                  <m:sSup>
                    <m:e>
                      <m:d>
                        <m:dPr>
                          <m:begChr m:val="|"/>
                          <m:sepChr m:val=""/>
                          <m:endChr m:val="|"/>
                          <m:grow/>
                        </m:dPr>
                        <m:e>
                          <m:r>
                            <m:t>G</m:t>
                          </m:r>
                          <m:r>
                            <m:t>S</m:t>
                          </m:r>
                          <m:r>
                            <m:t>L</m:t>
                          </m:r>
                          <m:sSub>
                            <m:e>
                              <m:r>
                                <m:t>C</m:t>
                              </m:r>
                            </m:e>
                            <m:sub>
                              <m:r>
                                <m:t>1</m:t>
                              </m:r>
                            </m:sub>
                          </m:sSub>
                        </m:e>
                      </m:d>
                    </m:e>
                    <m:sup>
                      <m:r>
                        <m:t>2</m:t>
                      </m:r>
                    </m:sup>
                  </m:sSup>
                  <m:r>
                    <m:rPr>
                      <m:sty m:val="p"/>
                    </m:rPr>
                    <m:t>*</m:t>
                  </m:r>
                  <m:r>
                    <m:rPr>
                      <m:sty m:val="p"/>
                    </m:rPr>
                    <m:t>∑</m:t>
                  </m:r>
                  <m:sSup>
                    <m:e>
                      <m:d>
                        <m:dPr>
                          <m:begChr m:val="|"/>
                          <m:sepChr m:val=""/>
                          <m:endChr m:val="|"/>
                          <m:grow/>
                        </m:dPr>
                        <m:e>
                          <m:r>
                            <m:t>G</m:t>
                          </m:r>
                          <m:r>
                            <m:t>S</m:t>
                          </m:r>
                          <m:r>
                            <m:t>L</m:t>
                          </m:r>
                          <m:sSub>
                            <m:e>
                              <m:r>
                                <m:t>C</m:t>
                              </m:r>
                            </m:e>
                            <m:sub>
                              <m:r>
                                <m:t>2</m:t>
                              </m:r>
                            </m:sub>
                          </m:sSub>
                        </m:e>
                      </m:d>
                    </m:e>
                    <m:sup>
                      <m:r>
                        <m:t>2</m:t>
                      </m:r>
                    </m:sup>
                  </m:sSup>
                </m:e>
              </m:rad>
            </m:den>
          </m:f>
          <m:r>
            <m:t>  </m:t>
          </m:r>
          <m:d>
            <m:dPr>
              <m:begChr m:val="("/>
              <m:sepChr m:val=""/>
              <m:endChr m:val=")"/>
              <m:grow/>
            </m:dPr>
            <m:e>
              <m:r>
                <m:t>18</m:t>
              </m:r>
            </m:e>
          </m:d>
        </m:oMath>
      </m:oMathPara>
      <w:bookmarkEnd w:id="316"/>
    </w:p>
    <w:p>
      <w:pPr>
        <w:pStyle w:val="FirstParagraph"/>
      </w:pPr>
      <w:r>
        <w:t xml:space="preserve">The InSAR differential phase (Eq. </w:t>
      </w:r>
      <w:hyperlink w:anchor="eq:sar-gslc-example-eq2">
        <w:r>
          <w:rPr>
            <w:rStyle w:val="Hyperlink"/>
          </w:rPr>
          <w:t xml:space="preserve">19</w:t>
        </w:r>
      </w:hyperlink>
      <w:r>
        <w:t xml:space="preserve">) is the argument of the complex coherence estimated with Eq. </w:t>
      </w:r>
      <w:hyperlink w:anchor="eq:sar-gslc-example-eq1">
        <w:r>
          <w:rPr>
            <w:rStyle w:val="Hyperlink"/>
          </w:rPr>
          <w:t xml:space="preserve">18</w:t>
        </w:r>
      </w:hyperlink>
      <w:r>
        <w:t xml:space="preserve">.</w:t>
      </w:r>
    </w:p>
    <w:p>
      <w:pPr>
        <w:pStyle w:val="Textkrper"/>
      </w:pPr>
      <w:bookmarkStart w:id="317" w:name="eq:sar-gslc-example-eq2"/>
      <m:oMathPara>
        <m:oMathParaPr>
          <m:jc m:val="center"/>
        </m:oMathParaPr>
        <m:oMath>
          <m:r>
            <m:rPr>
              <m:nor/>
              <m:sty m:val="p"/>
            </m:rPr>
            <m:t>InSAR differential phase:</m:t>
          </m:r>
          <m:r>
            <m:t> </m:t>
          </m:r>
          <m:r>
            <m:t>φ</m:t>
          </m:r>
          <m:r>
            <m:rPr>
              <m:sty m:val="p"/>
            </m:rPr>
            <m:t>=</m:t>
          </m:r>
          <m:r>
            <m:rPr>
              <m:sty m:val="p"/>
            </m:rPr>
            <m:t>arg</m:t>
          </m:r>
          <m:d>
            <m:dPr>
              <m:begChr m:val="("/>
              <m:sepChr m:val=""/>
              <m:endChr m:val=")"/>
              <m:grow/>
            </m:dPr>
            <m:e>
              <m:r>
                <m:t>ρ</m:t>
              </m:r>
            </m:e>
          </m:d>
          <m:r>
            <m:t>  </m:t>
          </m:r>
          <m:d>
            <m:dPr>
              <m:begChr m:val="("/>
              <m:sepChr m:val=""/>
              <m:endChr m:val=")"/>
              <m:grow/>
            </m:dPr>
            <m:e>
              <m:r>
                <m:t>19</m:t>
              </m:r>
            </m:e>
          </m:d>
        </m:oMath>
      </m:oMathPara>
      <w:bookmarkEnd w:id="317"/>
    </w:p>
    <w:p>
      <w:pPr>
        <w:pStyle w:val="FirstParagraph"/>
      </w:pPr>
      <w:r>
        <w:t xml:space="preserve">Some advanced NRB or POL products could include per-pixel</w:t>
      </w:r>
      <w:r>
        <w:t xml:space="preserve"> </w:t>
      </w:r>
      <w:r>
        <w:t xml:space="preserve">“Flattened Phase”</w:t>
      </w:r>
      <w:r>
        <w:t xml:space="preserve"> </w:t>
      </w:r>
      <w:r>
        <w:t xml:space="preserve">data. This</w:t>
      </w:r>
      <w:r>
        <w:t xml:space="preserve"> </w:t>
      </w:r>
      <w:r>
        <w:t xml:space="preserve">“Flattened Phase”</w:t>
      </w:r>
      <w:r>
        <w:t xml:space="preserve"> </w:t>
      </w:r>
      <w:r>
        <w:t xml:space="preserve">enables the possibility to perform InSAR analysis as with two GSLC products. As for example, from two different NRB products (NRB1) and (NRB2), acquired over repeat cycles (i.e., on the same relative orbit), containing</w:t>
      </w:r>
      <w:r>
        <w:t xml:space="preserve"> </w:t>
      </w:r>
      <m:oMath>
        <m:sSubSup>
          <m:e>
            <m:r>
              <m:t>γ</m:t>
            </m:r>
          </m:e>
          <m:sub>
            <m:r>
              <m:t>T</m:t>
            </m:r>
          </m:sub>
          <m:sup>
            <m:r>
              <m:t>0</m:t>
            </m:r>
          </m:sup>
        </m:sSubSup>
      </m:oMath>
      <w:r>
        <w:t xml:space="preserve"> </w:t>
      </w:r>
      <w:r>
        <w:t xml:space="preserve">and their corresponding</w:t>
      </w:r>
      <w:r>
        <w:t xml:space="preserve"> </w:t>
      </w:r>
      <w:r>
        <w:t xml:space="preserve">“Flattened Phase”</w:t>
      </w:r>
      <w:r>
        <w:t xml:space="preserve"> </w:t>
      </w:r>
      <w:r>
        <w:t xml:space="preserve">(FPh1) and (FPh2) per-pixel data, the complex InSAR coherence (Eq. </w:t>
      </w:r>
      <w:hyperlink w:anchor="eq:sar-gslc-example-eq3">
        <w:r>
          <w:rPr>
            <w:rStyle w:val="Hyperlink"/>
          </w:rPr>
          <w:t xml:space="preserve">20</w:t>
        </w:r>
      </w:hyperlink>
      <w:r>
        <w:t xml:space="preserve">) can be estimated in the similar manner as Eq. </w:t>
      </w:r>
      <w:hyperlink w:anchor="eq:sar-gslc-example-eq1">
        <w:r>
          <w:rPr>
            <w:rStyle w:val="Hyperlink"/>
          </w:rPr>
          <w:t xml:space="preserve">18</w:t>
        </w:r>
      </w:hyperlink>
      <w:r>
        <w:t xml:space="preserve"> </w:t>
      </w:r>
      <w:r>
        <w:t xml:space="preserve">for GSLC products.</w:t>
      </w:r>
    </w:p>
    <w:p>
      <w:pPr>
        <w:pStyle w:val="Textkrper"/>
      </w:pPr>
      <w:bookmarkStart w:id="318" w:name="eq:sar-gslc-example-eq3"/>
      <m:oMathPara>
        <m:oMathParaPr>
          <m:jc m:val="center"/>
        </m:oMathParaPr>
        <m:oMath>
          <m:r>
            <m:rPr>
              <m:nor/>
              <m:sty m:val="p"/>
            </m:rPr>
            <m:t>Complex coherence:</m:t>
          </m:r>
          <m:r>
            <m:t> </m:t>
          </m:r>
          <m:sSub>
            <m:e>
              <m:r>
                <m:t>ρ</m:t>
              </m:r>
            </m:e>
            <m:sub>
              <m:r>
                <m:t>N</m:t>
              </m:r>
              <m:r>
                <m:t>R</m:t>
              </m:r>
              <m:r>
                <m:t>B</m:t>
              </m:r>
            </m:sub>
          </m:sSub>
          <m:r>
            <m:rPr>
              <m:sty m:val="p"/>
            </m:rPr>
            <m:t>=</m:t>
          </m:r>
          <m:f>
            <m:fPr>
              <m:type m:val="bar"/>
            </m:fPr>
            <m:num>
              <m:r>
                <m:rPr>
                  <m:sty m:val="p"/>
                </m:rPr>
                <m:t>∑</m:t>
              </m:r>
              <m:d>
                <m:dPr>
                  <m:begChr m:val="["/>
                  <m:sepChr m:val=""/>
                  <m:endChr m:val="]"/>
                  <m:grow/>
                </m:dPr>
                <m:e>
                  <m:d>
                    <m:dPr>
                      <m:begChr m:val="("/>
                      <m:sepChr m:val=""/>
                      <m:endChr m:val=")"/>
                      <m:grow/>
                    </m:dPr>
                    <m:e>
                      <m:rad>
                        <m:radPr>
                          <m:degHide m:val="on"/>
                        </m:radPr>
                        <m:deg/>
                        <m:e>
                          <m:r>
                            <m:t>N</m:t>
                          </m:r>
                          <m:r>
                            <m:t>R</m:t>
                          </m:r>
                          <m:sSub>
                            <m:e>
                              <m:r>
                                <m:t>B</m:t>
                              </m:r>
                            </m:e>
                            <m:sub>
                              <m:r>
                                <m:t>1</m:t>
                              </m:r>
                            </m:sub>
                          </m:sSub>
                        </m:e>
                      </m:rad>
                      <m:r>
                        <m:rPr>
                          <m:sty m:val="p"/>
                        </m:rPr>
                        <m:t>⋅</m:t>
                      </m:r>
                      <m:sSup>
                        <m:e>
                          <m:r>
                            <m:t>e</m:t>
                          </m:r>
                        </m:e>
                        <m:sup>
                          <m:r>
                            <m:t>i</m:t>
                          </m:r>
                          <m:r>
                            <m:rPr>
                              <m:sty m:val="p"/>
                            </m:rPr>
                            <m:t>⋅</m:t>
                          </m:r>
                          <m:r>
                            <m:t>F</m:t>
                          </m:r>
                          <m:r>
                            <m:t>P</m:t>
                          </m:r>
                          <m:r>
                            <m:t>h</m:t>
                          </m:r>
                          <m:r>
                            <m:t>1</m:t>
                          </m:r>
                        </m:sup>
                      </m:sSup>
                    </m:e>
                  </m:d>
                  <m:r>
                    <m:rPr>
                      <m:sty m:val="p"/>
                    </m:rPr>
                    <m:t>⋅</m:t>
                  </m:r>
                  <m:r>
                    <m:t>c</m:t>
                  </m:r>
                  <m:r>
                    <m:t>o</m:t>
                  </m:r>
                  <m:r>
                    <m:t>n</m:t>
                  </m:r>
                  <m:r>
                    <m:t>j</m:t>
                  </m:r>
                  <m:d>
                    <m:dPr>
                      <m:begChr m:val="("/>
                      <m:sepChr m:val=""/>
                      <m:endChr m:val=")"/>
                      <m:grow/>
                    </m:dPr>
                    <m:e>
                      <m:rad>
                        <m:radPr>
                          <m:degHide m:val="on"/>
                        </m:radPr>
                        <m:deg/>
                        <m:e>
                          <m:r>
                            <m:t>N</m:t>
                          </m:r>
                          <m:r>
                            <m:t>R</m:t>
                          </m:r>
                          <m:sSub>
                            <m:e>
                              <m:r>
                                <m:t>B</m:t>
                              </m:r>
                            </m:e>
                            <m:sub>
                              <m:r>
                                <m:t>2</m:t>
                              </m:r>
                            </m:sub>
                          </m:sSub>
                        </m:e>
                      </m:rad>
                      <m:r>
                        <m:rPr>
                          <m:sty m:val="p"/>
                        </m:rPr>
                        <m:t>⋅</m:t>
                      </m:r>
                      <m:sSup>
                        <m:e>
                          <m:r>
                            <m:t>e</m:t>
                          </m:r>
                        </m:e>
                        <m:sup>
                          <m:r>
                            <m:t>i</m:t>
                          </m:r>
                          <m:r>
                            <m:rPr>
                              <m:sty m:val="p"/>
                            </m:rPr>
                            <m:t>⋅</m:t>
                          </m:r>
                          <m:r>
                            <m:t>F</m:t>
                          </m:r>
                          <m:r>
                            <m:t>P</m:t>
                          </m:r>
                          <m:r>
                            <m:t>h</m:t>
                          </m:r>
                          <m:r>
                            <m:t>2</m:t>
                          </m:r>
                        </m:sup>
                      </m:sSup>
                    </m:e>
                  </m:d>
                </m:e>
              </m:d>
            </m:num>
            <m:den>
              <m:rad>
                <m:radPr>
                  <m:degHide m:val="on"/>
                </m:radPr>
                <m:deg/>
                <m:e>
                  <m:r>
                    <m:rPr>
                      <m:sty m:val="p"/>
                    </m:rPr>
                    <m:t>∑</m:t>
                  </m:r>
                  <m:r>
                    <m:t>N</m:t>
                  </m:r>
                  <m:r>
                    <m:t>R</m:t>
                  </m:r>
                  <m:sSub>
                    <m:e>
                      <m:r>
                        <m:t>B</m:t>
                      </m:r>
                    </m:e>
                    <m:sub>
                      <m:r>
                        <m:t>1</m:t>
                      </m:r>
                    </m:sub>
                  </m:sSub>
                  <m:r>
                    <m:rPr>
                      <m:sty m:val="p"/>
                    </m:rPr>
                    <m:t>*</m:t>
                  </m:r>
                  <m:r>
                    <m:rPr>
                      <m:sty m:val="p"/>
                    </m:rPr>
                    <m:t>∑</m:t>
                  </m:r>
                  <m:r>
                    <m:t>N</m:t>
                  </m:r>
                  <m:r>
                    <m:t>R</m:t>
                  </m:r>
                  <m:sSub>
                    <m:e>
                      <m:r>
                        <m:t>B</m:t>
                      </m:r>
                    </m:e>
                    <m:sub>
                      <m:r>
                        <m:t>2</m:t>
                      </m:r>
                    </m:sub>
                  </m:sSub>
                </m:e>
              </m:rad>
            </m:den>
          </m:f>
          <m:r>
            <m:t>  </m:t>
          </m:r>
          <m:d>
            <m:dPr>
              <m:begChr m:val="("/>
              <m:sepChr m:val=""/>
              <m:endChr m:val=")"/>
              <m:grow/>
            </m:dPr>
            <m:e>
              <m:r>
                <m:t>20</m:t>
              </m:r>
            </m:e>
          </m:d>
        </m:oMath>
      </m:oMathPara>
      <w:bookmarkEnd w:id="318"/>
    </w:p>
    <w:p>
      <w:pPr>
        <w:pStyle w:val="FirstParagraph"/>
      </w:pPr>
      <w:r>
        <w:t xml:space="preserve">The following figures show Sentinel-1 GSLC product examples over Death Valley National Park, California, US:</w:t>
      </w:r>
    </w:p>
    <w:bookmarkStart w:id="322" w:name="fig:sar-gslc-example-fig1a"/>
    <w:p>
      <w:pPr>
        <w:pStyle w:val="CaptionedFigure"/>
      </w:pPr>
      <w:r>
        <w:drawing>
          <wp:inline>
            <wp:extent cx="3419475" cy="1743075"/>
            <wp:effectExtent b="0" l="0" r="0" t="0"/>
            <wp:docPr descr="Figure 1: GSLC1: Intensity data of the first GSLC product (2017-05-27)" title="" id="320" name="Picture"/>
            <a:graphic>
              <a:graphicData uri="http://schemas.openxmlformats.org/drawingml/2006/picture">
                <pic:pic>
                  <pic:nvPicPr>
                    <pic:cNvPr descr="assets/sar-gslc-example/S1-GSLC1.jpeg" id="321" name="Picture"/>
                    <pic:cNvPicPr>
                      <a:picLocks noChangeArrowheads="1" noChangeAspect="1"/>
                    </pic:cNvPicPr>
                  </pic:nvPicPr>
                  <pic:blipFill>
                    <a:blip r:embed="rId319"/>
                    <a:stretch>
                      <a:fillRect/>
                    </a:stretch>
                  </pic:blipFill>
                  <pic:spPr bwMode="auto">
                    <a:xfrm>
                      <a:off x="0" y="0"/>
                      <a:ext cx="3419475" cy="1743075"/>
                    </a:xfrm>
                    <a:prstGeom prst="rect">
                      <a:avLst/>
                    </a:prstGeom>
                    <a:noFill/>
                    <a:ln w="9525">
                      <a:noFill/>
                      <a:headEnd/>
                      <a:tailEnd/>
                    </a:ln>
                  </pic:spPr>
                </pic:pic>
              </a:graphicData>
            </a:graphic>
          </wp:inline>
        </w:drawing>
      </w:r>
    </w:p>
    <w:p>
      <w:pPr>
        <w:pStyle w:val="ImageCaption"/>
      </w:pPr>
      <w:r>
        <w:t xml:space="preserve">Figure 1: GSLC1: Intensity data of the first GSLC product (2017-05-27)</w:t>
      </w:r>
    </w:p>
    <w:bookmarkEnd w:id="322"/>
    <w:bookmarkStart w:id="326" w:name="fig:sar-gslc-example-fig1b"/>
    <w:p>
      <w:pPr>
        <w:pStyle w:val="CaptionedFigure"/>
      </w:pPr>
      <w:r>
        <w:drawing>
          <wp:inline>
            <wp:extent cx="3419475" cy="1666875"/>
            <wp:effectExtent b="0" l="0" r="0" t="0"/>
            <wp:docPr descr="Figure 2: GSLC2: Intensity data of the second GSLC product (2017-06-08)" title="" id="324" name="Picture"/>
            <a:graphic>
              <a:graphicData uri="http://schemas.openxmlformats.org/drawingml/2006/picture">
                <pic:pic>
                  <pic:nvPicPr>
                    <pic:cNvPr descr="assets/sar-gslc-example/S1-GSLC2.jpeg" id="325" name="Picture"/>
                    <pic:cNvPicPr>
                      <a:picLocks noChangeArrowheads="1" noChangeAspect="1"/>
                    </pic:cNvPicPr>
                  </pic:nvPicPr>
                  <pic:blipFill>
                    <a:blip r:embed="rId323"/>
                    <a:stretch>
                      <a:fillRect/>
                    </a:stretch>
                  </pic:blipFill>
                  <pic:spPr bwMode="auto">
                    <a:xfrm>
                      <a:off x="0" y="0"/>
                      <a:ext cx="3419475" cy="1666875"/>
                    </a:xfrm>
                    <a:prstGeom prst="rect">
                      <a:avLst/>
                    </a:prstGeom>
                    <a:noFill/>
                    <a:ln w="9525">
                      <a:noFill/>
                      <a:headEnd/>
                      <a:tailEnd/>
                    </a:ln>
                  </pic:spPr>
                </pic:pic>
              </a:graphicData>
            </a:graphic>
          </wp:inline>
        </w:drawing>
      </w:r>
    </w:p>
    <w:p>
      <w:pPr>
        <w:pStyle w:val="ImageCaption"/>
      </w:pPr>
      <w:r>
        <w:t xml:space="preserve">Figure 2: GSLC2: Intensity data of the second GSLC product (2017-06-08)</w:t>
      </w:r>
    </w:p>
    <w:bookmarkEnd w:id="326"/>
    <w:bookmarkStart w:id="330" w:name="fig:sar-gslc-example-fig1c"/>
    <w:p>
      <w:pPr>
        <w:pStyle w:val="CaptionedFigure"/>
      </w:pPr>
      <w:r>
        <w:drawing>
          <wp:inline>
            <wp:extent cx="3810000" cy="2540000"/>
            <wp:effectExtent b="0" l="0" r="0" t="0"/>
            <wp:docPr descr="Figure 3: InSAR coherence map generated directly from Figure 1 and Figure 2" title="" id="328" name="Picture"/>
            <a:graphic>
              <a:graphicData uri="http://schemas.openxmlformats.org/drawingml/2006/picture">
                <pic:pic>
                  <pic:nvPicPr>
                    <pic:cNvPr descr="assets/sar-gslc-example/S1-InSAR-coherence.png" id="329" name="Picture"/>
                    <pic:cNvPicPr>
                      <a:picLocks noChangeArrowheads="1" noChangeAspect="1"/>
                    </pic:cNvPicPr>
                  </pic:nvPicPr>
                  <pic:blipFill>
                    <a:blip r:embed="rId327"/>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3: InSAR coherence map generated directly from Figure </w:t>
      </w:r>
      <w:hyperlink w:anchor="fig:sar-gslc-example-fig1a">
        <w:r>
          <w:rPr>
            <w:rStyle w:val="Hyperlink"/>
          </w:rPr>
          <w:t xml:space="preserve">1</w:t>
        </w:r>
      </w:hyperlink>
      <w:r>
        <w:t xml:space="preserve"> </w:t>
      </w:r>
      <w:r>
        <w:t xml:space="preserve">and Figure </w:t>
      </w:r>
      <w:hyperlink w:anchor="fig:sar-gslc-example-fig1b">
        <w:r>
          <w:rPr>
            <w:rStyle w:val="Hyperlink"/>
          </w:rPr>
          <w:t xml:space="preserve">2</w:t>
        </w:r>
      </w:hyperlink>
    </w:p>
    <w:bookmarkEnd w:id="330"/>
    <w:bookmarkStart w:id="334" w:name="fig:sar-gslc-example-fig1d"/>
    <w:p>
      <w:pPr>
        <w:pStyle w:val="CaptionedFigure"/>
      </w:pPr>
      <w:r>
        <w:drawing>
          <wp:inline>
            <wp:extent cx="3810000" cy="2540000"/>
            <wp:effectExtent b="0" l="0" r="0" t="0"/>
            <wp:docPr descr="Figure 4: InSAR differential phase map generated directly from Figure 1 and Figure 2" title="" id="332" name="Picture"/>
            <a:graphic>
              <a:graphicData uri="http://schemas.openxmlformats.org/drawingml/2006/picture">
                <pic:pic>
                  <pic:nvPicPr>
                    <pic:cNvPr descr="assets/sar-gslc-example/S1-InSAR-differential-phase.png" id="333" name="Picture"/>
                    <pic:cNvPicPr>
                      <a:picLocks noChangeArrowheads="1" noChangeAspect="1"/>
                    </pic:cNvPicPr>
                  </pic:nvPicPr>
                  <pic:blipFill>
                    <a:blip r:embed="rId33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4: InSAR differential phase map generated directly from Figure </w:t>
      </w:r>
      <w:hyperlink w:anchor="fig:sar-gslc-example-fig1a">
        <w:r>
          <w:rPr>
            <w:rStyle w:val="Hyperlink"/>
          </w:rPr>
          <w:t xml:space="preserve">1</w:t>
        </w:r>
      </w:hyperlink>
      <w:r>
        <w:t xml:space="preserve"> </w:t>
      </w:r>
      <w:r>
        <w:t xml:space="preserve">and Figure </w:t>
      </w:r>
      <w:hyperlink w:anchor="fig:sar-gslc-example-fig1b">
        <w:r>
          <w:rPr>
            <w:rStyle w:val="Hyperlink"/>
          </w:rPr>
          <w:t xml:space="preserve">2</w:t>
        </w:r>
      </w:hyperlink>
    </w:p>
    <w:bookmarkEnd w:id="334"/>
    <w:p>
      <w:pPr>
        <w:pStyle w:val="Textkrper"/>
      </w:pPr>
      <w:r>
        <w:t xml:space="preserve">Some advanced GSLC product can be provided with</w:t>
      </w:r>
      <w:r>
        <w:t xml:space="preserve"> </w:t>
      </w:r>
      <w:r>
        <w:t xml:space="preserve">“Radar Unit Look Vector Grid Image”</w:t>
      </w:r>
      <w:r>
        <w:t xml:space="preserve"> </w:t>
      </w:r>
      <w:r>
        <w:t xml:space="preserve">per-pixel metadata (Figures </w:t>
      </w:r>
      <w:hyperlink w:anchor="fig:sar-gslc-example-fig2a">
        <w:r>
          <w:rPr>
            <w:rStyle w:val="Hyperlink"/>
          </w:rPr>
          <w:t xml:space="preserve">5</w:t>
        </w:r>
      </w:hyperlink>
      <w:r>
        <w:t xml:space="preserve">-</w:t>
      </w:r>
      <w:hyperlink w:anchor="fig:sar-gslc-example-fig2c">
        <w:r>
          <w:rPr>
            <w:rStyle w:val="Hyperlink"/>
          </w:rPr>
          <w:t xml:space="preserve">7</w:t>
        </w:r>
      </w:hyperlink>
      <w:r>
        <w:t xml:space="preserve">) which gives the accurate 3-D components radar unit look vector used as for example in decomposing the vertical and horizontal component of an InSAR surface displacement estimate.</w:t>
      </w:r>
    </w:p>
    <w:p>
      <w:pPr>
        <w:pStyle w:val="Textkrper"/>
      </w:pPr>
      <w:r>
        <w:t xml:space="preserve">The following figures show 3-D components radar unit look vector of the GSLC product:</w:t>
      </w:r>
    </w:p>
    <w:bookmarkStart w:id="338" w:name="fig:sar-gslc-example-fig2a"/>
    <w:p>
      <w:pPr>
        <w:pStyle w:val="CaptionedFigure"/>
      </w:pPr>
      <w:r>
        <w:drawing>
          <wp:inline>
            <wp:extent cx="3810000" cy="2540000"/>
            <wp:effectExtent b="0" l="0" r="0" t="0"/>
            <wp:docPr descr="Figure 5: x unit component" title="" id="336" name="Picture"/>
            <a:graphic>
              <a:graphicData uri="http://schemas.openxmlformats.org/drawingml/2006/picture">
                <pic:pic>
                  <pic:nvPicPr>
                    <pic:cNvPr descr="assets/sar-gslc-example/S1-GSLC-x-component.png" id="337" name="Picture"/>
                    <pic:cNvPicPr>
                      <a:picLocks noChangeArrowheads="1" noChangeAspect="1"/>
                    </pic:cNvPicPr>
                  </pic:nvPicPr>
                  <pic:blipFill>
                    <a:blip r:embed="rId33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5: x unit component</w:t>
      </w:r>
    </w:p>
    <w:bookmarkEnd w:id="338"/>
    <w:bookmarkStart w:id="342" w:name="fig:sar-gslc-example-fig2b"/>
    <w:p>
      <w:pPr>
        <w:pStyle w:val="CaptionedFigure"/>
      </w:pPr>
      <w:r>
        <w:drawing>
          <wp:inline>
            <wp:extent cx="3810000" cy="2540000"/>
            <wp:effectExtent b="0" l="0" r="0" t="0"/>
            <wp:docPr descr="Figure 6: y unit component" title="" id="340" name="Picture"/>
            <a:graphic>
              <a:graphicData uri="http://schemas.openxmlformats.org/drawingml/2006/picture">
                <pic:pic>
                  <pic:nvPicPr>
                    <pic:cNvPr descr="assets/sar-gslc-example/S1-GSLC-y-component.png" id="341" name="Picture"/>
                    <pic:cNvPicPr>
                      <a:picLocks noChangeArrowheads="1" noChangeAspect="1"/>
                    </pic:cNvPicPr>
                  </pic:nvPicPr>
                  <pic:blipFill>
                    <a:blip r:embed="rId33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6: y unit component</w:t>
      </w:r>
    </w:p>
    <w:bookmarkEnd w:id="342"/>
    <w:bookmarkStart w:id="346" w:name="fig:sar-gslc-example-fig2c"/>
    <w:p>
      <w:pPr>
        <w:pStyle w:val="CaptionedFigure"/>
      </w:pPr>
      <w:r>
        <w:drawing>
          <wp:inline>
            <wp:extent cx="3810000" cy="2540000"/>
            <wp:effectExtent b="0" l="0" r="0" t="0"/>
            <wp:docPr descr="Figure 7: z unit component" title="" id="344" name="Picture"/>
            <a:graphic>
              <a:graphicData uri="http://schemas.openxmlformats.org/drawingml/2006/picture">
                <pic:pic>
                  <pic:nvPicPr>
                    <pic:cNvPr descr="assets/sar-gslc-example/S1-GSLC-z-component.png" id="345" name="Picture"/>
                    <pic:cNvPicPr>
                      <a:picLocks noChangeArrowheads="1" noChangeAspect="1"/>
                    </pic:cNvPicPr>
                  </pic:nvPicPr>
                  <pic:blipFill>
                    <a:blip r:embed="rId34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7: z unit component</w:t>
      </w:r>
    </w:p>
    <w:bookmarkEnd w:id="346"/>
    <w:bookmarkEnd w:id="347"/>
    <w:bookmarkEnd w:id="348"/>
    <w:bookmarkEnd w:id="349"/>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3">
    <w:p>
      <w:pPr>
        <w:pStyle w:val="Funotentext"/>
      </w:pPr>
      <w:r>
        <w:rPr>
          <w:rStyle w:val="Funotenzeichen"/>
        </w:rPr>
        <w:footnoteRef/>
      </w:r>
      <w:r>
        <w:t xml:space="preserve"> </w:t>
      </w:r>
      <w:r>
        <w:t xml:space="preserve">For data crossing the North or South Pole, it is recommended to produce two distinct products and to use the appropriate</w:t>
      </w:r>
      <w:r>
        <w:t xml:space="preserve"> </w:t>
      </w:r>
      <w:r>
        <w:t xml:space="preserve">“Pass direction”</w:t>
      </w:r>
      <w:r>
        <w:t xml:space="preserve"> </w:t>
      </w:r>
      <w:r>
        <w:t xml:space="preserve">in each.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image" Id="rId335" Target="media/rId335.png" /><Relationship Type="http://schemas.openxmlformats.org/officeDocument/2006/relationships/image" Id="rId339" Target="media/rId339.png" /><Relationship Type="http://schemas.openxmlformats.org/officeDocument/2006/relationships/image" Id="rId343" Target="media/rId343.png" /><Relationship Type="http://schemas.openxmlformats.org/officeDocument/2006/relationships/image" Id="rId319" Target="media/rId319.jpg" /><Relationship Type="http://schemas.openxmlformats.org/officeDocument/2006/relationships/image" Id="rId323" Target="media/rId323.jpg" /><Relationship Type="http://schemas.openxmlformats.org/officeDocument/2006/relationships/image" Id="rId327" Target="media/rId327.png" /><Relationship Type="http://schemas.openxmlformats.org/officeDocument/2006/relationships/image" Id="rId331" Target="media/rId331.png" /><Relationship Type="http://schemas.openxmlformats.org/officeDocument/2006/relationships/hyperlink" Id="rId272" Target="https://ceos.org/ard/files/CEOS_ARD_Governance_Framework_18-October-2021.pdf" TargetMode="External" /><Relationship Type="http://schemas.openxmlformats.org/officeDocument/2006/relationships/hyperlink" Id="rId61" Target="https://ceos.org/mim-database/" TargetMode="External" /><Relationship Type="http://schemas.openxmlformats.org/officeDocument/2006/relationships/hyperlink" Id="rId279" Target="https://doi.org/10.1029/2011JE003986" TargetMode="External" /><Relationship Type="http://schemas.openxmlformats.org/officeDocument/2006/relationships/hyperlink" Id="rId291" Target="https://doi.org/10.1109/JSTARS.2017.2697861" TargetMode="External" /><Relationship Type="http://schemas.openxmlformats.org/officeDocument/2006/relationships/hyperlink" Id="rId287" Target="https://doi.org/10.1109/LGRS.2017.2753580" TargetMode="External" /><Relationship Type="http://schemas.openxmlformats.org/officeDocument/2006/relationships/hyperlink" Id="rId277" Target="https://doi.org/10.1109/TGRS.2008.2002881" TargetMode="External" /><Relationship Type="http://schemas.openxmlformats.org/officeDocument/2006/relationships/hyperlink" Id="rId289" Target="https://doi.org/10.1109/TGRS.2010.2051333" TargetMode="External" /><Relationship Type="http://schemas.openxmlformats.org/officeDocument/2006/relationships/hyperlink" Id="rId285" Target="https://doi.org/10.1109/TGRS.2010.2099124" TargetMode="External" /><Relationship Type="http://schemas.openxmlformats.org/officeDocument/2006/relationships/hyperlink" Id="rId283" Target="https://doi.org/10.1109/TGRS.2011.2120616" TargetMode="External" /><Relationship Type="http://schemas.openxmlformats.org/officeDocument/2006/relationships/hyperlink" Id="rId281" Target="https://doi.org/10.1109/TGRS.2022.3147472"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72" Target="https://ceos.org/ard/files/CEOS_ARD_Governance_Framework_18-October-2021.pdf" TargetMode="External" /><Relationship Type="http://schemas.openxmlformats.org/officeDocument/2006/relationships/hyperlink" Id="rId61" Target="https://ceos.org/mim-database/" TargetMode="External" /><Relationship Type="http://schemas.openxmlformats.org/officeDocument/2006/relationships/hyperlink" Id="rId279" Target="https://doi.org/10.1029/2011JE003986" TargetMode="External" /><Relationship Type="http://schemas.openxmlformats.org/officeDocument/2006/relationships/hyperlink" Id="rId291" Target="https://doi.org/10.1109/JSTARS.2017.2697861" TargetMode="External" /><Relationship Type="http://schemas.openxmlformats.org/officeDocument/2006/relationships/hyperlink" Id="rId287" Target="https://doi.org/10.1109/LGRS.2017.2753580" TargetMode="External" /><Relationship Type="http://schemas.openxmlformats.org/officeDocument/2006/relationships/hyperlink" Id="rId277" Target="https://doi.org/10.1109/TGRS.2008.2002881" TargetMode="External" /><Relationship Type="http://schemas.openxmlformats.org/officeDocument/2006/relationships/hyperlink" Id="rId289" Target="https://doi.org/10.1109/TGRS.2010.2051333" TargetMode="External" /><Relationship Type="http://schemas.openxmlformats.org/officeDocument/2006/relationships/hyperlink" Id="rId285" Target="https://doi.org/10.1109/TGRS.2010.2099124" TargetMode="External" /><Relationship Type="http://schemas.openxmlformats.org/officeDocument/2006/relationships/hyperlink" Id="rId283" Target="https://doi.org/10.1109/TGRS.2011.2120616" TargetMode="External" /><Relationship Type="http://schemas.openxmlformats.org/officeDocument/2006/relationships/hyperlink" Id="rId281" Target="https://doi.org/10.1109/TGRS.2022.3147472"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Geocoded Single-Look Complex - Version 1.2.0-draft</dc:title>
  <dc:creator/>
  <dc:language>en</dc:language>
  <cp:keywords/>
  <dcterms:created xsi:type="dcterms:W3CDTF">2026-03-26T16:40:02Z</dcterms:created>
  <dcterms:modified xsi:type="dcterms:W3CDTF">2026-03-26T16:40:02Z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/home/runner/work/ceos-ard/ceos-ard/build/GSLC.bib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