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0" w:name="ceos-ard---optical---surface-reflectance"/>
    <w:p>
      <w:pPr>
        <w:pStyle w:val="berschrift1"/>
      </w:pPr>
      <w:r>
        <w:t xml:space="preserve">CEOS-ARD - Optical - Surface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18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6" w:name="threshold-requirements"/>
    <w:p>
      <w:pPr>
        <w:pStyle w:val="berschrift5"/>
      </w:pPr>
      <w:r>
        <w:t xml:space="preserve">Threshold requirements:</w:t>
      </w:r>
    </w:p>
    <w:p>
      <w:pPr>
        <w:pStyle w:val="FirstParagraph"/>
      </w:pPr>
      <w:r>
        <w:t xml:space="preserve">Not required.</w:t>
      </w:r>
      <w:r>
        <w:t xml:space="preserve"> </w:t>
      </w:r>
    </w:p>
    <w:bookmarkEnd w:id="36"/>
    <w:bookmarkStart w:id="37"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7"/>
    <w:bookmarkStart w:id="38"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4"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9"/>
    <w:bookmarkStart w:id="50"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6"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3"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8"/>
    <w:bookmarkEnd w:id="79"/>
    <w:bookmarkStart w:id="83"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1"/>
    <w:bookmarkStart w:id="82"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4"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1"/>
    <w:bookmarkStart w:id="102"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2"/>
    <w:bookmarkEnd w:id="103"/>
    <w:bookmarkEnd w:id="104"/>
    <w:bookmarkStart w:id="15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30"/>
    <w:bookmarkStart w:id="131"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3" w:name="threshold-requirements-24"/>
    <w:p>
      <w:pPr>
        <w:pStyle w:val="berschrift5"/>
      </w:pPr>
      <w:r>
        <w:t xml:space="preserve">Threshold requirements:</w:t>
      </w:r>
    </w:p>
    <w:p>
      <w:pPr>
        <w:pStyle w:val="FirstParagraph"/>
      </w:pPr>
      <w:r>
        <w:t xml:space="preserve">Not required.</w:t>
      </w:r>
      <w:r>
        <w:t xml:space="preserve"> </w:t>
      </w:r>
    </w:p>
    <w:bookmarkEnd w:id="133"/>
    <w:bookmarkStart w:id="134"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4"/>
    <w:bookmarkStart w:id="135"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7" w:name="threshold-requirements-25"/>
    <w:p>
      <w:pPr>
        <w:pStyle w:val="berschrift5"/>
      </w:pPr>
      <w:r>
        <w:t xml:space="preserve">Threshold requirements:</w:t>
      </w:r>
    </w:p>
    <w:p>
      <w:pPr>
        <w:pStyle w:val="FirstParagraph"/>
      </w:pPr>
      <w:r>
        <w:t xml:space="preserve">Not required.</w:t>
      </w:r>
      <w:r>
        <w:t xml:space="preserve"> </w:t>
      </w:r>
    </w:p>
    <w:bookmarkEnd w:id="137"/>
    <w:bookmarkStart w:id="138"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8"/>
    <w:bookmarkStart w:id="139"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1" w:name="threshold-requirements-26"/>
    <w:p>
      <w:pPr>
        <w:pStyle w:val="berschrift5"/>
      </w:pPr>
      <w:r>
        <w:t xml:space="preserve">Threshold requirements:</w:t>
      </w:r>
    </w:p>
    <w:p>
      <w:pPr>
        <w:pStyle w:val="FirstParagraph"/>
      </w:pPr>
      <w:r>
        <w:t xml:space="preserve">Not required.</w:t>
      </w:r>
      <w:r>
        <w:t xml:space="preserve"> </w:t>
      </w:r>
    </w:p>
    <w:bookmarkEnd w:id="141"/>
    <w:bookmarkStart w:id="142"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2"/>
    <w:bookmarkStart w:id="143"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3"/>
    <w:bookmarkEnd w:id="144"/>
    <w:bookmarkStart w:id="148"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5" w:name="threshold-requirements-27"/>
    <w:p>
      <w:pPr>
        <w:pStyle w:val="berschrift5"/>
      </w:pPr>
      <w:r>
        <w:t xml:space="preserve">Threshold requirements:</w:t>
      </w:r>
    </w:p>
    <w:p>
      <w:pPr>
        <w:pStyle w:val="FirstParagraph"/>
      </w:pPr>
      <w:r>
        <w:t xml:space="preserve">Provide average solar and sensor viewing azimuth and zenith angles.</w:t>
      </w:r>
    </w:p>
    <w:bookmarkEnd w:id="145"/>
    <w:bookmarkStart w:id="146" w:name="goal-requirements-27"/>
    <w:p>
      <w:pPr>
        <w:pStyle w:val="berschrift5"/>
      </w:pPr>
      <w:r>
        <w:t xml:space="preserve">Goal requirements:</w:t>
      </w:r>
    </w:p>
    <w:p>
      <w:pPr>
        <w:pStyle w:val="FirstParagraph"/>
      </w:pPr>
      <w:r>
        <w:t xml:space="preserve">Provide per-pixel solar and sensor viewing azimuth and zenith angles.</w:t>
      </w:r>
    </w:p>
    <w:bookmarkEnd w:id="146"/>
    <w:bookmarkStart w:id="147"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9" w:name="threshold-requirements-28"/>
    <w:p>
      <w:pPr>
        <w:pStyle w:val="berschrift5"/>
      </w:pPr>
      <w:r>
        <w:t xml:space="preserve">Threshold requirements:</w:t>
      </w:r>
    </w:p>
    <w:p>
      <w:pPr>
        <w:pStyle w:val="FirstParagraph"/>
      </w:pPr>
      <w:r>
        <w:t xml:space="preserve">Not required.</w:t>
      </w:r>
      <w:r>
        <w:t xml:space="preserve"> </w:t>
      </w:r>
    </w:p>
    <w:bookmarkEnd w:id="149"/>
    <w:bookmarkStart w:id="150"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0"/>
    <w:bookmarkStart w:id="151"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51"/>
    <w:bookmarkEnd w:id="152"/>
    <w:bookmarkEnd w:id="153"/>
    <w:bookmarkStart w:id="17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7"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4"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4"/>
    <w:bookmarkStart w:id="155"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6"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6"/>
    <w:bookmarkStart w:id="167" w:name="goal-requirements-32"/>
    <w:p>
      <w:pPr>
        <w:pStyle w:val="berschrift5"/>
      </w:pPr>
      <w:r>
        <w:t xml:space="preserve">Goal requirements:</w:t>
      </w:r>
    </w:p>
    <w:p>
      <w:pPr>
        <w:pStyle w:val="FirstParagraph"/>
      </w:pPr>
      <w:r>
        <w:t xml:space="preserve">As threshold.</w:t>
      </w:r>
      <w:r>
        <w:t xml:space="preserve"> </w:t>
      </w:r>
    </w:p>
    <w:bookmarkEnd w:id="167"/>
    <w:bookmarkStart w:id="168"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8"/>
    <w:bookmarkEnd w:id="169"/>
    <w:bookmarkStart w:id="173"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70"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2"/>
    <w:bookmarkEnd w:id="173"/>
    <w:bookmarkStart w:id="177"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5"/>
    <w:bookmarkStart w:id="176"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6"/>
    <w:bookmarkEnd w:id="177"/>
    <w:bookmarkEnd w:id="178"/>
    <w:bookmarkStart w:id="18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9"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9"/>
    <w:bookmarkStart w:id="180"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81"/>
    <w:bookmarkEnd w:id="182"/>
    <w:bookmarkEnd w:id="183"/>
    <w:bookmarkEnd w:id="184"/>
    <w:bookmarkStart w:id="189" w:name="summary-self-assessment-table"/>
    <w:p>
      <w:pPr>
        <w:pStyle w:val="berschrift2"/>
      </w:pPr>
      <w:r>
        <w:t xml:space="preserve">Summary Self-Assessment Table</w:t>
      </w:r>
    </w:p>
    <w:bookmarkStart w:id="18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5"/>
    <w:bookmarkStart w:id="18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6"/>
    <w:bookmarkStart w:id="18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7"/>
    <w:bookmarkStart w:id="18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8"/>
    <w:bookmarkEnd w:id="189"/>
    <w:bookmarkStart w:id="19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0"/>
    <w:bookmarkStart w:id="19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2"/>
    <w:bookmarkStart w:id="19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3"/>
    <w:bookmarkEnd w:id="194"/>
    <w:bookmarkStart w:id="199" w:name="references"/>
    <w:p>
      <w:pPr>
        <w:pStyle w:val="berschrift2"/>
      </w:pPr>
      <w:r>
        <w:t xml:space="preserve">References</w:t>
      </w:r>
    </w:p>
    <w:bookmarkStart w:id="198" w:name="refs"/>
    <w:bookmarkStart w:id="19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95"/>
    <w:bookmarkStart w:id="197" w:name="ref-li2012"/>
    <w:p>
      <w:pPr>
        <w:pStyle w:val="Literaturverzeichnis"/>
      </w:pPr>
      <w:r>
        <w:t xml:space="preserve">Li, Fuqin, David L. B. Jupp, Medhavy Thankappan, et al.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6">
        <w:r>
          <w:rPr>
            <w:rStyle w:val="Hyperlink"/>
          </w:rPr>
          <w:t xml:space="preserve">https://doi.org/10.1016/j.rse.2012.06.018</w:t>
        </w:r>
      </w:hyperlink>
      <w:r>
        <w:t xml:space="preserve">.</w:t>
      </w:r>
    </w:p>
    <w:bookmarkEnd w:id="197"/>
    <w:bookmarkEnd w:id="198"/>
    <w:bookmarkEnd w:id="199"/>
    <w:bookmarkEnd w:id="20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2026-06-26T17:46:44Z</dcterms:created>
  <dcterms:modified xsi:type="dcterms:W3CDTF">2026-06-26T17:46:44Z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