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81" w:name="Xce600f72cb23def82478a30d868cf03fbc410f5"/>
    <w:p>
      <w:pPr>
        <w:pStyle w:val="berschrift1"/>
      </w:pPr>
      <w:r>
        <w:t xml:space="preserve">CEOS-ARD - Optical - Nighttime Light Surface Radiance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Nighttime Light Surface Radiance (NLSR)</w:t>
      </w:r>
    </w:p>
    <w:p>
      <w:pPr>
        <w:pStyle w:val="Textkrper"/>
      </w:pPr>
      <w:r>
        <w:rPr>
          <w:b/>
          <w:bCs/>
        </w:rPr>
        <w:t xml:space="preserve">Version:</w:t>
      </w:r>
      <w:r>
        <w:t xml:space="preserve"> </w:t>
      </w:r>
      <w:r>
        <w:t xml:space="preserve">1.1-draft</w:t>
      </w:r>
    </w:p>
    <w:p>
      <w:pPr>
        <w:pStyle w:val="Textkrper"/>
      </w:pPr>
      <w:r>
        <w:rPr>
          <w:b/>
          <w:bCs/>
        </w:rPr>
        <w:t xml:space="preserve">Applies to:</w:t>
      </w:r>
      <w:r>
        <w:t xml:space="preserve"> </w:t>
      </w:r>
      <w:r>
        <w:t xml:space="preserve">Data collected with nighttime light sensors operating in the VIS/NIR wavelengths.</w:t>
      </w:r>
      <w:r>
        <w:t xml:space="preserve"> </w:t>
      </w:r>
      <w:r>
        <w:t xml:space="preserve">These typically operate with ground sample distance and resolution in the order of 10-1000m;</w:t>
      </w:r>
      <w:r>
        <w:t xml:space="preserve"> </w:t>
      </w:r>
      <w:r>
        <w:t xml:space="preserve">however, the Specification is not inherently limited to this resolution.</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NASA, USA</w:t>
      </w:r>
    </w:p>
    <w:p>
      <w:pPr>
        <w:pStyle w:val="Compact"/>
        <w:numPr>
          <w:ilvl w:val="1"/>
          <w:numId w:val="1002"/>
        </w:numPr>
      </w:pPr>
      <w:r>
        <w:t xml:space="preserve">Brian Killough</w:t>
      </w:r>
    </w:p>
    <w:p>
      <w:pPr>
        <w:pStyle w:val="Compact"/>
        <w:numPr>
          <w:ilvl w:val="1"/>
          <w:numId w:val="1002"/>
        </w:numPr>
      </w:pPr>
      <w:r>
        <w:t xml:space="preserve">Bhaskar Ramachandran</w:t>
      </w:r>
    </w:p>
    <w:p>
      <w:pPr>
        <w:pStyle w:val="Compact"/>
        <w:numPr>
          <w:ilvl w:val="0"/>
          <w:numId w:val="1001"/>
        </w:numPr>
      </w:pPr>
      <w:r>
        <w:t xml:space="preserve">Leidos Inc., USA</w:t>
      </w:r>
    </w:p>
    <w:p>
      <w:pPr>
        <w:pStyle w:val="Compact"/>
        <w:numPr>
          <w:ilvl w:val="1"/>
          <w:numId w:val="1003"/>
        </w:numPr>
      </w:pPr>
      <w:r>
        <w:t xml:space="preserve">Miguel Román</w:t>
      </w:r>
    </w:p>
    <w:p>
      <w:pPr>
        <w:pStyle w:val="Compact"/>
        <w:numPr>
          <w:ilvl w:val="0"/>
          <w:numId w:val="1001"/>
        </w:numPr>
      </w:pPr>
      <w:r>
        <w:t xml:space="preserve">University of Maryland, USA</w:t>
      </w:r>
    </w:p>
    <w:p>
      <w:pPr>
        <w:pStyle w:val="Compact"/>
        <w:numPr>
          <w:ilvl w:val="1"/>
          <w:numId w:val="1004"/>
        </w:numPr>
      </w:pPr>
      <w:r>
        <w:t xml:space="preserve">Zhuosen Wang</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NLSR</w:t>
      </w:r>
    </w:p>
    <w:p>
      <w:pPr>
        <w:pStyle w:val="Definition"/>
      </w:pPr>
      <w:r>
        <w:t xml:space="preserve">Nighttime Light Surface Radiance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VIS</w:t>
      </w:r>
    </w:p>
    <w:p>
      <w:pPr>
        <w:pStyle w:val="Definition"/>
      </w:pPr>
      <w:r>
        <w:t xml:space="preserve">Visible</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5"/>
        </w:numPr>
      </w:pPr>
      <w:r>
        <w:t xml:space="preserve">that product has been assessed as meeting CEOS-ARD requirements by the agency or other entities responsible for production and distribution of the product, and</w:t>
      </w:r>
    </w:p>
    <w:p>
      <w:pPr>
        <w:pStyle w:val="Compact"/>
        <w:numPr>
          <w:ilvl w:val="0"/>
          <w:numId w:val="1005"/>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2"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6"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6"/>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6"/>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34"/>
    <w:bookmarkEnd w:id="35"/>
    <w:bookmarkEnd w:id="36"/>
    <w:bookmarkStart w:id="41"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0"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7" w:name="threshold-requirements-1"/>
    <w:p>
      <w:pPr>
        <w:pStyle w:val="berschrift5"/>
      </w:pPr>
      <w:r>
        <w:t xml:space="preserve">Threshold requirements:</w:t>
      </w:r>
    </w:p>
    <w:p>
      <w:pPr>
        <w:pStyle w:val="FirstParagraph"/>
      </w:pPr>
      <w:r>
        <w:t xml:space="preserve">This is a threshold requirement.</w:t>
      </w:r>
    </w:p>
    <w:bookmarkEnd w:id="37"/>
    <w:bookmarkStart w:id="38"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38"/>
    <w:bookmarkStart w:id="39" w:name="assessment-1"/>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39"/>
    <w:bookmarkEnd w:id="40"/>
    <w:bookmarkEnd w:id="41"/>
    <w:bookmarkStart w:id="4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5"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2" w:name="threshold-requirements-2"/>
    <w:p>
      <w:pPr>
        <w:pStyle w:val="berschrift5"/>
      </w:pPr>
      <w:r>
        <w:t xml:space="preserve">Threshold requirements:</w:t>
      </w:r>
    </w:p>
    <w:p>
      <w:pPr>
        <w:pStyle w:val="FirstParagraph"/>
      </w:pPr>
      <w:r>
        <w:t xml:space="preserve">This is a threshold requirement.</w:t>
      </w:r>
    </w:p>
    <w:bookmarkEnd w:id="42"/>
    <w:bookmarkStart w:id="43"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0"/>
        </w:numPr>
      </w:pPr>
      <w:r>
        <w:t xml:space="preserve">This is a note.</w:t>
      </w:r>
    </w:p>
    <w:bookmarkEnd w:id="43"/>
    <w:bookmarkStart w:id="44" w:name="assessment-2"/>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44"/>
    <w:bookmarkEnd w:id="45"/>
    <w:bookmarkEnd w:id="46"/>
    <w:bookmarkStart w:id="51"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0"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7" w:name="threshold-requirements-3"/>
    <w:p>
      <w:pPr>
        <w:pStyle w:val="berschrift5"/>
      </w:pPr>
      <w:r>
        <w:t xml:space="preserve">Threshold requirements:</w:t>
      </w:r>
    </w:p>
    <w:p>
      <w:pPr>
        <w:pStyle w:val="FirstParagraph"/>
      </w:pPr>
      <w:r>
        <w:t xml:space="preserve">This is a threshold requirement.</w:t>
      </w:r>
    </w:p>
    <w:bookmarkEnd w:id="47"/>
    <w:bookmarkStart w:id="48"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48"/>
    <w:bookmarkStart w:id="49" w:name="assessment-3"/>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bookmarkEnd w:id="49"/>
    <w:bookmarkEnd w:id="50"/>
    <w:bookmarkEnd w:id="51"/>
    <w:bookmarkStart w:id="56"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5" w:name="sec:rac.measurements-uncertainty"/>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2" w:name="threshold-requirements-4"/>
    <w:p>
      <w:pPr>
        <w:pStyle w:val="berschrift5"/>
      </w:pPr>
      <w:r>
        <w:t xml:space="preserve">Threshold requirements:</w:t>
      </w:r>
    </w:p>
    <w:p>
      <w:pPr>
        <w:pStyle w:val="FirstParagraph"/>
      </w:pPr>
      <w:r>
        <w:rPr>
          <w:i/>
          <w:iCs/>
        </w:rPr>
        <w:t xml:space="preserve">None</w:t>
      </w:r>
    </w:p>
    <w:bookmarkEnd w:id="52"/>
    <w:bookmarkStart w:id="53"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4"/>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4"/>
        </w:numPr>
      </w:pPr>
      <w:r>
        <w:t xml:space="preserve">Information on measurement uncertainty should be available in the metadata as a single DOI landing page.</w:t>
      </w:r>
    </w:p>
    <w:bookmarkEnd w:id="53"/>
    <w:bookmarkStart w:id="54" w:name="assessment-4"/>
    <w:p>
      <w:pPr>
        <w:pStyle w:val="berschrift5"/>
      </w:pPr>
      <w:r>
        <w:t xml:space="preserve">Assessment:</w:t>
      </w:r>
    </w:p>
    <w:p>
      <w:pPr>
        <w:pStyle w:val="Compact"/>
        <w:numPr>
          <w:ilvl w:val="0"/>
          <w:numId w:val="1015"/>
        </w:numPr>
      </w:pPr>
      <w:r>
        <w:t xml:space="preserve">Threshold Self-Assessment:</w:t>
      </w:r>
    </w:p>
    <w:p>
      <w:pPr>
        <w:pStyle w:val="Compact"/>
        <w:numPr>
          <w:ilvl w:val="0"/>
          <w:numId w:val="1015"/>
        </w:numPr>
      </w:pPr>
      <w:r>
        <w:t xml:space="preserve">Goal Self-Assessment:</w:t>
      </w:r>
    </w:p>
    <w:p>
      <w:pPr>
        <w:pStyle w:val="Compact"/>
        <w:numPr>
          <w:ilvl w:val="0"/>
          <w:numId w:val="1015"/>
        </w:numPr>
      </w:pPr>
      <w:r>
        <w:t xml:space="preserve">Self-Assessment Explanation/ Justification:</w:t>
      </w:r>
    </w:p>
    <w:p>
      <w:pPr>
        <w:pStyle w:val="Compact"/>
        <w:numPr>
          <w:ilvl w:val="0"/>
          <w:numId w:val="1015"/>
        </w:numPr>
      </w:pPr>
      <w:r>
        <w:t xml:space="preserve">Recommended Requirement Modification:</w:t>
      </w:r>
    </w:p>
    <w:bookmarkEnd w:id="54"/>
    <w:bookmarkEnd w:id="55"/>
    <w:bookmarkEnd w:id="56"/>
    <w:bookmarkStart w:id="61"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0"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7" w:name="threshold-requirements-5"/>
    <w:p>
      <w:pPr>
        <w:pStyle w:val="berschrift5"/>
      </w:pPr>
      <w:r>
        <w:t xml:space="preserve">Threshold requirements:</w:t>
      </w:r>
    </w:p>
    <w:p>
      <w:pPr>
        <w:pStyle w:val="FirstParagraph"/>
      </w:pPr>
      <w:r>
        <w:t xml:space="preserve">This is a threshold requirement.</w:t>
      </w:r>
    </w:p>
    <w:bookmarkEnd w:id="57"/>
    <w:bookmarkStart w:id="58"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6"/>
        </w:numPr>
      </w:pPr>
      <w:r>
        <w:t xml:space="preserve">This is a note.</w:t>
      </w:r>
    </w:p>
    <w:bookmarkEnd w:id="58"/>
    <w:bookmarkStart w:id="59" w:name="assessment-5"/>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br w:type="page"/>
      </w:r>
    </w:p>
    <w:bookmarkEnd w:id="59"/>
    <w:bookmarkEnd w:id="60"/>
    <w:bookmarkEnd w:id="61"/>
    <w:bookmarkEnd w:id="62"/>
    <w:bookmarkStart w:id="69" w:name="summary-self-assessment-table"/>
    <w:p>
      <w:pPr>
        <w:pStyle w:val="berschrift2"/>
      </w:pPr>
      <w:r>
        <w:t xml:space="preserve">Summary Self-Assessment Table</w:t>
      </w:r>
    </w:p>
    <w:bookmarkStart w:id="63"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3"/>
    <w:bookmarkStart w:id="64"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4"/>
    <w:bookmarkStart w:id="65"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5"/>
    <w:bookmarkStart w:id="66"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6"/>
    <w:bookmarkStart w:id="67"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7"/>
    <w:bookmarkStart w:id="68"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8"/>
    <w:bookmarkEnd w:id="69"/>
    <w:bookmarkStart w:id="80" w:name="references"/>
    <w:p>
      <w:pPr>
        <w:pStyle w:val="berschrift2"/>
      </w:pPr>
      <w:r>
        <w:t xml:space="preserve">References</w:t>
      </w:r>
    </w:p>
    <w:bookmarkStart w:id="79" w:name="refs"/>
    <w:bookmarkStart w:id="70"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0"/>
    <w:bookmarkStart w:id="72" w:name="ref-mills2014"/>
    <w:p>
      <w:pPr>
        <w:pStyle w:val="Literaturverzeichnis"/>
      </w:pPr>
      <w:r>
        <w:t xml:space="preserve">Mills, Stephen, and Steven Miller. 2014.</w:t>
      </w:r>
      <w:r>
        <w:t xml:space="preserve"> </w:t>
      </w:r>
      <w:r>
        <w:t xml:space="preserve">“VIIRS Day-Night Band (DNB) Calibration Methods for Improved Uniformity.”</w:t>
      </w:r>
      <w:r>
        <w:t xml:space="preserve"> </w:t>
      </w:r>
      <w:r>
        <w:rPr>
          <w:i/>
          <w:iCs/>
        </w:rPr>
        <w:t xml:space="preserve">Proceedings of SPIE - The International Society for Optical Engineering</w:t>
      </w:r>
      <w:r>
        <w:t xml:space="preserve"> </w:t>
      </w:r>
      <w:r>
        <w:t xml:space="preserve">9218 (October): 921809.</w:t>
      </w:r>
      <w:r>
        <w:t xml:space="preserve"> </w:t>
      </w:r>
      <w:hyperlink r:id="rId71">
        <w:r>
          <w:rPr>
            <w:rStyle w:val="Hyperlink"/>
          </w:rPr>
          <w:t xml:space="preserve">https://doi.org/10.1117/12.2060143</w:t>
        </w:r>
      </w:hyperlink>
      <w:r>
        <w:t xml:space="preserve">.</w:t>
      </w:r>
    </w:p>
    <w:bookmarkEnd w:id="72"/>
    <w:bookmarkStart w:id="74" w:name="ref-roman2018"/>
    <w:p>
      <w:pPr>
        <w:pStyle w:val="Literaturverzeichnis"/>
      </w:pPr>
      <w:r>
        <w:t xml:space="preserve">Román, Miguel O., Zhuosen Wang, Qingsong Sun, Virginia Kalb, Steven D. Miller, Andrew Molthan, Lori Schultz, et al. 2018.</w:t>
      </w:r>
      <w:r>
        <w:t xml:space="preserve"> </w:t>
      </w:r>
      <w:r>
        <w:t xml:space="preserve">“NASA’s Black Marble Nighttime Lights Product Suite.”</w:t>
      </w:r>
      <w:r>
        <w:t xml:space="preserve"> </w:t>
      </w:r>
      <w:r>
        <w:rPr>
          <w:i/>
          <w:iCs/>
        </w:rPr>
        <w:t xml:space="preserve">Remote Sensing of Environment</w:t>
      </w:r>
      <w:r>
        <w:t xml:space="preserve"> </w:t>
      </w:r>
      <w:r>
        <w:t xml:space="preserve">210: 113–43. https://doi.org/</w:t>
      </w:r>
      <w:hyperlink r:id="rId73">
        <w:r>
          <w:rPr>
            <w:rStyle w:val="Hyperlink"/>
          </w:rPr>
          <w:t xml:space="preserve">https://doi.org/10.1016/j.rse.2018.03.017</w:t>
        </w:r>
      </w:hyperlink>
      <w:r>
        <w:t xml:space="preserve">.</w:t>
      </w:r>
    </w:p>
    <w:bookmarkEnd w:id="74"/>
    <w:bookmarkStart w:id="76" w:name="ref-ryan2019"/>
    <w:p>
      <w:pPr>
        <w:pStyle w:val="Literaturverzeichnis"/>
      </w:pPr>
      <w:r>
        <w:t xml:space="preserve">Ryan, Robert E., Mary Pagnutti, Kara Burch, Larry Leigh, Timothy Ruggles, Changyong Cao, David Aaron, Slawomir Blonski, and Dennis Helder. 2019.</w:t>
      </w:r>
      <w:r>
        <w:t xml:space="preserve"> </w:t>
      </w:r>
      <w:r>
        <w:t xml:space="preserve">“The Terra Vega Active Light Source: A First Step in a New Approach to Perform Nighttime Absolute Radiometric Calibrations and Early Results Calibrating the VIIRS DNB.”</w:t>
      </w:r>
      <w:r>
        <w:t xml:space="preserve"> </w:t>
      </w:r>
      <w:r>
        <w:rPr>
          <w:i/>
          <w:iCs/>
        </w:rPr>
        <w:t xml:space="preserve">Remote Sensing</w:t>
      </w:r>
      <w:r>
        <w:t xml:space="preserve"> </w:t>
      </w:r>
      <w:r>
        <w:t xml:space="preserve">11 (6).</w:t>
      </w:r>
      <w:r>
        <w:t xml:space="preserve"> </w:t>
      </w:r>
      <w:hyperlink r:id="rId75">
        <w:r>
          <w:rPr>
            <w:rStyle w:val="Hyperlink"/>
          </w:rPr>
          <w:t xml:space="preserve">https://doi.org/10.3390/rs11060710</w:t>
        </w:r>
      </w:hyperlink>
      <w:r>
        <w:t xml:space="preserve">.</w:t>
      </w:r>
    </w:p>
    <w:bookmarkEnd w:id="76"/>
    <w:bookmarkStart w:id="78" w:name="ref-wang2021"/>
    <w:p>
      <w:pPr>
        <w:pStyle w:val="Literaturverzeichnis"/>
      </w:pPr>
      <w:r>
        <w:t xml:space="preserve">Wang, Zhuosen, Miguel O. Román, Virginia L. Kalb, Steven D. Miller, Jianglong Zhang, and Ranjay M. Shrestha. 2021.</w:t>
      </w:r>
      <w:r>
        <w:t xml:space="preserve"> </w:t>
      </w:r>
      <w:r>
        <w:t xml:space="preserve">“Quantifying Uncertainties in Nighttime Light Retrievals from Suomi-NPP and NOAA-20 VIIRS Day/Night Band Data.”</w:t>
      </w:r>
      <w:r>
        <w:t xml:space="preserve"> </w:t>
      </w:r>
      <w:r>
        <w:rPr>
          <w:i/>
          <w:iCs/>
        </w:rPr>
        <w:t xml:space="preserve">Remote Sensing of Environment</w:t>
      </w:r>
      <w:r>
        <w:t xml:space="preserve"> </w:t>
      </w:r>
      <w:r>
        <w:t xml:space="preserve">263: 112557. https://doi.org/</w:t>
      </w:r>
      <w:hyperlink r:id="rId77">
        <w:r>
          <w:rPr>
            <w:rStyle w:val="Hyperlink"/>
          </w:rPr>
          <w:t xml:space="preserve">https://doi.org/10.1016/j.rse.2021.112557</w:t>
        </w:r>
      </w:hyperlink>
      <w:r>
        <w:t xml:space="preserve">.</w:t>
      </w:r>
    </w:p>
    <w:bookmarkEnd w:id="78"/>
    <w:bookmarkEnd w:id="79"/>
    <w:bookmarkEnd w:id="80"/>
    <w:bookmarkEnd w:id="81"/>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73" Target="https://doi.org/10.1016/j.rse.2018.03.017" TargetMode="External" /><Relationship Type="http://schemas.openxmlformats.org/officeDocument/2006/relationships/hyperlink" Id="rId77" Target="https://doi.org/10.1016/j.rse.2021.112557" TargetMode="External" /><Relationship Type="http://schemas.openxmlformats.org/officeDocument/2006/relationships/hyperlink" Id="rId71" Target="https://doi.org/10.1117/12.2060143" TargetMode="External" /><Relationship Type="http://schemas.openxmlformats.org/officeDocument/2006/relationships/hyperlink" Id="rId75" Target="https://doi.org/10.3390/rs11060710"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73" Target="https://doi.org/10.1016/j.rse.2018.03.017" TargetMode="External" /><Relationship Type="http://schemas.openxmlformats.org/officeDocument/2006/relationships/hyperlink" Id="rId77" Target="https://doi.org/10.1016/j.rse.2021.112557" TargetMode="External" /><Relationship Type="http://schemas.openxmlformats.org/officeDocument/2006/relationships/hyperlink" Id="rId71" Target="https://doi.org/10.1117/12.2060143" TargetMode="External" /><Relationship Type="http://schemas.openxmlformats.org/officeDocument/2006/relationships/hyperlink" Id="rId75" Target="https://doi.org/10.3390/rs11060710"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Nighttime Light Surface Radiance - Version 1.1-draft</dc:title>
  <dc:creator/>
  <dc:language>en</dc:language>
  <cp:keywords/>
  <dcterms:created xsi:type="dcterms:W3CDTF">2025-06-13T14:57:48Z</dcterms:created>
  <dcterms:modified xsi:type="dcterms:W3CDTF">2025-06-13T14:57:48Z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build/NLSR.bib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