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5" w:name="Xce600f72cb23def82478a30d868cf03fbc410f5"/>
    <w:p>
      <w:pPr>
        <w:pStyle w:val="berschrift1"/>
      </w:pPr>
      <w:r>
        <w:t xml:space="preserve">CEOS-ARD - Optical - Nighttime Light Surface Radiance</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Optical, Nighttime Light Surface Radiance</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Brian Killough, NASA, USA</w:t>
      </w:r>
    </w:p>
    <w:p>
      <w:pPr>
        <w:pStyle w:val="Compact"/>
        <w:numPr>
          <w:ilvl w:val="0"/>
          <w:numId w:val="1001"/>
        </w:numPr>
      </w:pPr>
      <w:r>
        <w:t xml:space="preserve">Bhaskar Ramachandran, NASA, USA</w:t>
      </w:r>
    </w:p>
    <w:p>
      <w:pPr>
        <w:pStyle w:val="Compact"/>
        <w:numPr>
          <w:ilvl w:val="0"/>
          <w:numId w:val="1001"/>
        </w:numPr>
      </w:pPr>
      <w:r>
        <w:t xml:space="preserve">Miguel Román, Leidos Inc., USA</w:t>
      </w:r>
    </w:p>
    <w:p>
      <w:pPr>
        <w:pStyle w:val="Compact"/>
        <w:numPr>
          <w:ilvl w:val="0"/>
          <w:numId w:val="1001"/>
        </w:numPr>
      </w:pPr>
      <w:r>
        <w:t xml:space="preserve">Zhuosen Wang, University of Maryland, USA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by Optical sensors</w:t>
      </w:r>
    </w:p>
    <w:bookmarkEnd w:id="28"/>
    <w:bookmarkStart w:id="29" w:name="background"/>
    <w:p>
      <w:pPr>
        <w:pStyle w:val="berschrift2"/>
      </w:pPr>
      <w:r>
        <w:t xml:space="preserve">Background</w:t>
      </w:r>
    </w:p>
    <w:p>
      <w:pPr>
        <w:pStyle w:val="FirstParagraph"/>
      </w:pP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End w:id="29"/>
    <w:bookmarkStart w:id="30" w:name="definitions-and-abbreviations"/>
    <w:p>
      <w:pPr>
        <w:pStyle w:val="berschrift2"/>
      </w:pPr>
      <w:r>
        <w:t xml:space="preserve">Definitions and Abbreviations</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30"/>
    <w:bookmarkStart w:id="61"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5"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bookmarkEnd w:id="33"/>
    <w:bookmarkEnd w:id="34"/>
    <w:bookmarkEnd w:id="35"/>
    <w:bookmarkStart w:id="40"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39" w:name="sec:src.example"/>
    <w:p>
      <w:pPr>
        <w:pStyle w:val="berschrift4"/>
      </w:pPr>
      <w:r>
        <w:rPr>
          <w:rStyle w:val="VerbatimChar"/>
        </w:rPr>
        <w:t xml:space="preserve">2.1.</w:t>
      </w:r>
      <w:r>
        <w:t xml:space="preserve"> </w:t>
      </w:r>
      <w:r>
        <w:t xml:space="preserve">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6" w:name="threshold-requirements-1"/>
    <w:p>
      <w:pPr>
        <w:pStyle w:val="berschrift5"/>
      </w:pPr>
      <w:r>
        <w:t xml:space="preserve">Threshold requirements:</w:t>
      </w:r>
    </w:p>
    <w:p>
      <w:pPr>
        <w:pStyle w:val="FirstParagraph"/>
      </w:pPr>
      <w:r>
        <w:t xml:space="preserve">This is a threshold requirement.</w:t>
      </w:r>
    </w:p>
    <w:bookmarkEnd w:id="36"/>
    <w:bookmarkStart w:id="37"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4"/>
        </w:numPr>
      </w:pPr>
      <w:r>
        <w:t xml:space="preserve">This is a note.</w:t>
      </w:r>
    </w:p>
    <w:bookmarkEnd w:id="37"/>
    <w:bookmarkStart w:id="38" w:name="assessment-1"/>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bookmarkEnd w:id="38"/>
    <w:bookmarkEnd w:id="39"/>
    <w:bookmarkEnd w:id="40"/>
    <w:bookmarkStart w:id="4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4" w:name="sec:prd.example"/>
    <w:p>
      <w:pPr>
        <w:pStyle w:val="berschrift4"/>
      </w:pPr>
      <w:r>
        <w:rPr>
          <w:rStyle w:val="VerbatimChar"/>
        </w:rPr>
        <w:t xml:space="preserve">3.1.</w:t>
      </w:r>
      <w:r>
        <w:t xml:space="preserve"> </w:t>
      </w:r>
      <w:r>
        <w:t xml:space="preserve">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1" w:name="threshold-requirements-2"/>
    <w:p>
      <w:pPr>
        <w:pStyle w:val="berschrift5"/>
      </w:pPr>
      <w:r>
        <w:t xml:space="preserve">Threshold requirements:</w:t>
      </w:r>
    </w:p>
    <w:p>
      <w:pPr>
        <w:pStyle w:val="FirstParagraph"/>
      </w:pPr>
      <w:r>
        <w:t xml:space="preserve">This is a threshold requirement.</w:t>
      </w:r>
    </w:p>
    <w:bookmarkEnd w:id="41"/>
    <w:bookmarkStart w:id="42"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6"/>
        </w:numPr>
      </w:pPr>
      <w:r>
        <w:t xml:space="preserve">This is a note.</w:t>
      </w:r>
    </w:p>
    <w:bookmarkEnd w:id="42"/>
    <w:bookmarkStart w:id="43" w:name="assessment-2"/>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3"/>
    <w:bookmarkEnd w:id="44"/>
    <w:bookmarkEnd w:id="45"/>
    <w:bookmarkStart w:id="50"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49" w:name="sec:pxl.example"/>
    <w:p>
      <w:pPr>
        <w:pStyle w:val="berschrift4"/>
      </w:pPr>
      <w:r>
        <w:rPr>
          <w:rStyle w:val="VerbatimChar"/>
        </w:rPr>
        <w:t xml:space="preserve">4.1.</w:t>
      </w:r>
      <w:r>
        <w:t xml:space="preserve"> </w:t>
      </w:r>
      <w:r>
        <w:t xml:space="preserve">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6" w:name="threshold-requirements-3"/>
    <w:p>
      <w:pPr>
        <w:pStyle w:val="berschrift5"/>
      </w:pPr>
      <w:r>
        <w:t xml:space="preserve">Threshold requirements:</w:t>
      </w:r>
    </w:p>
    <w:p>
      <w:pPr>
        <w:pStyle w:val="FirstParagraph"/>
      </w:pPr>
      <w:r>
        <w:t xml:space="preserve">This is a threshold requirement.</w:t>
      </w:r>
    </w:p>
    <w:bookmarkEnd w:id="46"/>
    <w:bookmarkStart w:id="47"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47"/>
    <w:bookmarkStart w:id="48" w:name="assessment-3"/>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48"/>
    <w:bookmarkEnd w:id="49"/>
    <w:bookmarkEnd w:id="50"/>
    <w:bookmarkStart w:id="55"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4" w:name="sec:rac.measurements-uncertainty"/>
    <w:p>
      <w:pPr>
        <w:pStyle w:val="berschrift4"/>
      </w:pPr>
      <w:r>
        <w:rPr>
          <w:rStyle w:val="VerbatimChar"/>
        </w:rPr>
        <w:t xml:space="preserve">5.1.</w:t>
      </w:r>
      <w:r>
        <w:t xml:space="preserve"> </w:t>
      </w:r>
      <w:r>
        <w:t xml:space="preserve">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1" w:name="threshold-requirements-4"/>
    <w:p>
      <w:pPr>
        <w:pStyle w:val="berschrift5"/>
      </w:pPr>
      <w:r>
        <w:t xml:space="preserve">Threshold requirements:</w:t>
      </w:r>
    </w:p>
    <w:p>
      <w:pPr>
        <w:pStyle w:val="FirstParagraph"/>
      </w:pPr>
      <w:r>
        <w:t xml:space="preserve">Not required.</w:t>
      </w:r>
      <w:r>
        <w:t xml:space="preserve"> </w:t>
      </w:r>
    </w:p>
    <w:bookmarkEnd w:id="51"/>
    <w:bookmarkStart w:id="52"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0"/>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0"/>
        </w:numPr>
      </w:pPr>
      <w:r>
        <w:t xml:space="preserve">Information on measurement uncertainty should be available in the metadata as a single DOI landing page.</w:t>
      </w:r>
    </w:p>
    <w:bookmarkEnd w:id="52"/>
    <w:bookmarkStart w:id="53" w:name="assessment-4"/>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53"/>
    <w:bookmarkEnd w:id="54"/>
    <w:bookmarkEnd w:id="55"/>
    <w:bookmarkStart w:id="60"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59" w:name="sec:gcor.example"/>
    <w:p>
      <w:pPr>
        <w:pStyle w:val="berschrift4"/>
      </w:pPr>
      <w:r>
        <w:rPr>
          <w:rStyle w:val="VerbatimChar"/>
        </w:rPr>
        <w:t xml:space="preserve">6.1.</w:t>
      </w:r>
      <w:r>
        <w:t xml:space="preserve"> </w:t>
      </w:r>
      <w:r>
        <w:t xml:space="preserve">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6" w:name="threshold-requirements-5"/>
    <w:p>
      <w:pPr>
        <w:pStyle w:val="berschrift5"/>
      </w:pPr>
      <w:r>
        <w:t xml:space="preserve">Threshold requirements:</w:t>
      </w:r>
    </w:p>
    <w:p>
      <w:pPr>
        <w:pStyle w:val="FirstParagraph"/>
      </w:pPr>
      <w:r>
        <w:t xml:space="preserve">This is a threshold requirement.</w:t>
      </w:r>
    </w:p>
    <w:bookmarkEnd w:id="56"/>
    <w:bookmarkStart w:id="57"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57"/>
    <w:bookmarkStart w:id="58" w:name="assessment-5"/>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p>
      <w:r>
        <w:br w:type="page"/>
      </w:r>
    </w:p>
    <w:bookmarkEnd w:id="58"/>
    <w:bookmarkEnd w:id="59"/>
    <w:bookmarkEnd w:id="60"/>
    <w:bookmarkEnd w:id="61"/>
    <w:bookmarkStart w:id="68" w:name="summary-self-assessment-table"/>
    <w:p>
      <w:pPr>
        <w:pStyle w:val="berschrift2"/>
      </w:pPr>
      <w:r>
        <w:t xml:space="preserve">Summary Self-Assessment Table</w:t>
      </w:r>
    </w:p>
    <w:bookmarkStart w:id="62"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2"/>
    <w:bookmarkStart w:id="63"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3"/>
    <w:bookmarkStart w:id="64"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4"/>
    <w:bookmarkStart w:id="65"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5"/>
    <w:bookmarkStart w:id="66"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6"/>
    <w:bookmarkStart w:id="67"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7"/>
    <w:bookmarkEnd w:id="68"/>
    <w:bookmarkStart w:id="73"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69"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69"/>
    <w:bookmarkStart w:id="71"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14"/>
        </w:numPr>
      </w:pPr>
      <w:r>
        <w:t xml:space="preserve">that product has been assessed as meeting CEOS-ARD requirements by the agency responsible for production and distribution of the product, and</w:t>
      </w:r>
    </w:p>
    <w:p>
      <w:pPr>
        <w:pStyle w:val="Compact"/>
        <w:numPr>
          <w:ilvl w:val="0"/>
          <w:numId w:val="101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70">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71"/>
    <w:bookmarkStart w:id="72"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72"/>
    <w:bookmarkEnd w:id="73"/>
    <w:bookmarkStart w:id="84" w:name="references"/>
    <w:p>
      <w:pPr>
        <w:pStyle w:val="berschrift2"/>
      </w:pPr>
      <w:r>
        <w:t xml:space="preserve">References</w:t>
      </w:r>
    </w:p>
    <w:bookmarkStart w:id="83" w:name="refs"/>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5">
        <w:r>
          <w:rPr>
            <w:rStyle w:val="Hyperlink"/>
          </w:rPr>
          <w:t xml:space="preserve">https://doi.org/10.1117/12.2060143</w:t>
        </w:r>
      </w:hyperlink>
      <w:r>
        <w:t xml:space="preserve">.</w:t>
      </w:r>
    </w:p>
    <w:bookmarkEnd w:id="76"/>
    <w:bookmarkStart w:id="78"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7">
        <w:r>
          <w:rPr>
            <w:rStyle w:val="Hyperlink"/>
          </w:rPr>
          <w:t xml:space="preserve">https://doi.org/10.1016/j.rse.2018.03.017</w:t>
        </w:r>
      </w:hyperlink>
      <w:r>
        <w:t xml:space="preserve">.</w:t>
      </w:r>
    </w:p>
    <w:bookmarkEnd w:id="78"/>
    <w:bookmarkStart w:id="80"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9">
        <w:r>
          <w:rPr>
            <w:rStyle w:val="Hyperlink"/>
          </w:rPr>
          <w:t xml:space="preserve">https://doi.org/10.3390/rs11060710</w:t>
        </w:r>
      </w:hyperlink>
      <w:r>
        <w:t xml:space="preserve">.</w:t>
      </w:r>
    </w:p>
    <w:bookmarkEnd w:id="80"/>
    <w:bookmarkStart w:id="82"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81">
        <w:r>
          <w:rPr>
            <w:rStyle w:val="Hyperlink"/>
          </w:rPr>
          <w:t xml:space="preserve">https://doi.org/10.1016/j.rse.2021.112557</w:t>
        </w:r>
      </w:hyperlink>
      <w:r>
        <w:t xml:space="preserve">.</w:t>
      </w:r>
    </w:p>
    <w:bookmarkEnd w:id="82"/>
    <w:bookmarkEnd w:id="83"/>
    <w:bookmarkEnd w:id="84"/>
    <w:bookmarkEnd w:id="85"/>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70" Target="https://ceos.org/ard/files/CEOS_ARD_Governance_Framework_18-October-2021.pdf" TargetMode="External" /><Relationship Type="http://schemas.openxmlformats.org/officeDocument/2006/relationships/hyperlink" Id="rId77" Target="https://doi.org/10.1016/j.rse.2018.03.017" TargetMode="External" /><Relationship Type="http://schemas.openxmlformats.org/officeDocument/2006/relationships/hyperlink" Id="rId81" Target="https://doi.org/10.1016/j.rse.2021.112557" TargetMode="External" /><Relationship Type="http://schemas.openxmlformats.org/officeDocument/2006/relationships/hyperlink" Id="rId75" Target="https://doi.org/10.1117/12.2060143" TargetMode="External" /><Relationship Type="http://schemas.openxmlformats.org/officeDocument/2006/relationships/hyperlink" Id="rId79" Target="https://doi.org/10.3390/rs11060710"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2025-07-28T15:57:01Z</dcterms:created>
  <dcterms:modified xsi:type="dcterms:W3CDTF">2025-07-28T15:57:01Z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