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20.png" ContentType="image/png"/>
  <Override PartName="/word/media/rId324.png" ContentType="image/png"/>
  <Override PartName="/word/media/rId328.png" ContentType="image/png"/>
  <Override PartName="/word/media/rId304.jpg" ContentType="image/jpeg"/>
  <Override PartName="/word/media/rId308.jpg" ContentType="image/jpeg"/>
  <Override PartName="/word/media/rId312.png" ContentType="image/png"/>
  <Override PartName="/word/media/rId3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34" w:name="X8d64603d4f68efbf8b51a1fead1c840b36ed8a3"/>
    <w:p>
      <w:pPr>
        <w:pStyle w:val="berschrift1"/>
      </w:pPr>
      <w:r>
        <w:t xml:space="preserve">CEOS-ARD - Synthetic Aperture Radar - Geocoded Single-Look Complex</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Geocoded Single-Look Complex (SAR-GSLC)</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Geocoded Single-Look Complex (GSLC) product is relevant to interferometric studies.</w:t>
      </w:r>
      <w:r>
        <w:t xml:space="preserve"> </w:t>
      </w:r>
      <w:r>
        <w:t xml:space="preserve">The GSLC product is derived from the range-Doppler (i.e. slant range) Single-Look Complex (SLC) product using a DEM and the orbital state vectors and output in the map projected system.</w:t>
      </w:r>
      <w:r>
        <w:t xml:space="preserve"> </w:t>
      </w:r>
      <w:r>
        <w:t xml:space="preserve">The phase of a geocoded SLC is</w:t>
      </w:r>
      <w:r>
        <w:t xml:space="preserve"> </w:t>
      </w:r>
      <w:r>
        <w:t xml:space="preserve">“flattened”</w:t>
      </w:r>
      <w:r>
        <w:t xml:space="preserve"> </w:t>
      </w:r>
      <w:r>
        <w:t xml:space="preserve">with respect to a reference orbit and to a DEM, to eliminate topographic phase contributions</w:t>
      </w:r>
      <w:r>
        <w:t xml:space="preserve"> </w:t>
      </w:r>
      <w:r>
        <w:t xml:space="preserve">(</w:t>
      </w:r>
      <w:hyperlink w:anchor="ref-zebker2017">
        <w:r>
          <w:rPr>
            <w:rStyle w:val="Hyperlink"/>
          </w:rPr>
          <w:t xml:space="preserve">H. Zebker 2017</w:t>
        </w:r>
      </w:hyperlink>
      <w:r>
        <w:t xml:space="preserve">;</w:t>
      </w:r>
      <w:r>
        <w:t xml:space="preserve"> </w:t>
      </w:r>
      <w:hyperlink w:anchor="ref-zheng2017">
        <w:r>
          <w:rPr>
            <w:rStyle w:val="Hyperlink"/>
          </w:rPr>
          <w:t xml:space="preserve">Zheng and Zebker 2017</w:t>
        </w:r>
      </w:hyperlink>
      <w:r>
        <w:t xml:space="preserve">)</w:t>
      </w:r>
      <w:r>
        <w:t xml:space="preserve">.</w:t>
      </w:r>
      <w:r>
        <w:t xml:space="preserve"> </w:t>
      </w:r>
      <w:r>
        <w:t xml:space="preserve">The sample spacing of the GSLC product in the map coordinate directions is comparable to the full resolution original SLC product.</w:t>
      </w:r>
      <w:r>
        <w:t xml:space="preserve"> </w:t>
      </w:r>
      <w:r>
        <w:t xml:space="preserve">The GSLC product can be directly overlaid on a map or combined with other similar GSLC products to derive interferograms and create change maps, for example.</w:t>
      </w:r>
      <w:r>
        <w:t xml:space="preserve"> </w:t>
      </w:r>
      <w:r>
        <w:t xml:space="preserve">Since the GSLC phase is flattened, the phase difference between two GSLC products acquired on a same relative orbit produces an interferogram referring only to surface displacement and noise (i.e., no topographic fringes).</w:t>
      </w:r>
      <w:r>
        <w:t xml:space="preserve"> </w:t>
      </w:r>
      <w:r>
        <w:t xml:space="preserve">The GSLC product may optionally be radiometrically terrain corrected such that the squared amplitude yields</w:t>
      </w:r>
      <w:r>
        <w:t xml:space="preserve"> </w:t>
      </w:r>
      <m:oMath>
        <m:sSubSup>
          <m:e>
            <m:r>
              <m:t>γ</m:t>
            </m:r>
          </m:e>
          <m:sub>
            <m:r>
              <m:t>T</m:t>
            </m:r>
          </m:sub>
          <m:sup>
            <m:r>
              <m:t>0</m:t>
            </m:r>
          </m:sup>
        </m:sSubSup>
      </m:oMath>
      <w:r>
        <w:t xml:space="preserve">.</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ECEF</w:t>
      </w:r>
    </w:p>
    <w:p>
      <w:pPr>
        <w:pStyle w:val="Definition"/>
      </w:pPr>
      <w:r>
        <w:t xml:space="preserve">Earth-Centred Earth-Fixed</w:t>
      </w:r>
    </w:p>
    <w:p>
      <w:pPr>
        <w:pStyle w:val="DefinitionTerm"/>
      </w:pPr>
      <w:r>
        <w:t xml:space="preserve">ECR</w:t>
      </w:r>
    </w:p>
    <w:p>
      <w:pPr>
        <w:pStyle w:val="Definition"/>
      </w:pPr>
      <w:r>
        <w:t xml:space="preserve">Earth-Centred Rotating</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acquisition-id"/>
    <w:p>
      <w:pPr>
        <w:pStyle w:val="berschrift4"/>
      </w:pPr>
      <w:r>
        <w:rPr>
          <w:rStyle w:val="VerbatimChar"/>
        </w:rPr>
        <w:t xml:space="preserve">2.1.</w:t>
      </w:r>
      <w:r>
        <w:t xml:space="preserve"> </w:t>
      </w:r>
      <w:r>
        <w:t xml:space="preserve">Source Metadata: Acquisition ID</w:t>
      </w:r>
    </w:p>
    <w:p>
      <w:pPr>
        <w:pStyle w:val="FirstParagraph"/>
      </w:pPr>
      <w:r>
        <w:t xml:space="preserve">Identifier:</w:t>
      </w:r>
      <w:r>
        <w:t xml:space="preserve"> </w:t>
      </w:r>
      <w:r>
        <w:rPr>
          <w:rStyle w:val="VerbatimChar"/>
        </w:rPr>
        <w:t xml:space="preserve">src.metadata-acquisition-id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resolution"/>
    <w:p>
      <w:pPr>
        <w:pStyle w:val="berschrift4"/>
      </w:pPr>
      <w:r>
        <w:rPr>
          <w:rStyle w:val="VerbatimChar"/>
        </w:rPr>
        <w:t xml:space="preserve">3.4.</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Average spatial resolution along:</w:t>
      </w:r>
    </w:p>
    <w:p>
      <w:pPr>
        <w:pStyle w:val="Compact"/>
        <w:numPr>
          <w:ilvl w:val="0"/>
          <w:numId w:val="1053"/>
        </w:numPr>
      </w:pPr>
      <w:r>
        <w:t xml:space="preserve">Columns</w:t>
      </w:r>
    </w:p>
    <w:p>
      <w:pPr>
        <w:pStyle w:val="Compact"/>
        <w:numPr>
          <w:ilvl w:val="0"/>
          <w:numId w:val="1053"/>
        </w:numPr>
      </w:pPr>
      <w:r>
        <w:t xml:space="preserve">Rows</w:t>
      </w:r>
    </w:p>
    <w:bookmarkEnd w:id="121"/>
    <w:bookmarkStart w:id="122" w:name="assessment-21"/>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22"/>
    <w:bookmarkEnd w:id="123"/>
    <w:bookmarkStart w:id="127" w:name="sec:prd.metadata-bounding-box"/>
    <w:p>
      <w:pPr>
        <w:pStyle w:val="berschrift4"/>
      </w:pPr>
      <w:r>
        <w:rPr>
          <w:rStyle w:val="VerbatimChar"/>
        </w:rPr>
        <w:t xml:space="preserve">3.5.</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24" w:name="threshold-requirements-22"/>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5"/>
        </w:numPr>
      </w:pPr>
      <w:r>
        <w:t xml:space="preserve">Four corners of the measurement file are recommended for scenes crossing the Antemeridian, or the North or the South Pole.</w:t>
      </w:r>
    </w:p>
    <w:bookmarkEnd w:id="124"/>
    <w:bookmarkStart w:id="125" w:name="goal-requirements-22"/>
    <w:p>
      <w:pPr>
        <w:pStyle w:val="berschrift5"/>
      </w:pPr>
      <w:r>
        <w:t xml:space="preserve">Goal requirements:</w:t>
      </w:r>
    </w:p>
    <w:p>
      <w:pPr>
        <w:pStyle w:val="FirstParagraph"/>
      </w:pPr>
      <w:r>
        <w:rPr>
          <w:i/>
          <w:iCs/>
        </w:rPr>
        <w:t xml:space="preserve">None</w:t>
      </w:r>
    </w:p>
    <w:bookmarkEnd w:id="125"/>
    <w:bookmarkStart w:id="126" w:name="assessment-22"/>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26"/>
    <w:bookmarkEnd w:id="127"/>
    <w:bookmarkStart w:id="131" w:name="sec:prd.metadata-footprint"/>
    <w:p>
      <w:pPr>
        <w:pStyle w:val="berschrift4"/>
      </w:pPr>
      <w:r>
        <w:rPr>
          <w:rStyle w:val="VerbatimChar"/>
        </w:rPr>
        <w:t xml:space="preserve">3.6.</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28" w:name="threshold-requirements-23"/>
    <w:p>
      <w:pPr>
        <w:pStyle w:val="berschrift5"/>
      </w:pPr>
      <w:r>
        <w:t xml:space="preserve">Threshold requirements:</w:t>
      </w:r>
    </w:p>
    <w:p>
      <w:pPr>
        <w:pStyle w:val="FirstParagraph"/>
      </w:pPr>
      <w:r>
        <w:t xml:space="preserve">The geometry of the image footprint expressed in WGS84, in a standardised format (e.g., WKT Polygon).</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30"/>
    <w:bookmarkEnd w:id="131"/>
    <w:bookmarkStart w:id="135" w:name="sec:prd.metadata-image-size"/>
    <w:p>
      <w:pPr>
        <w:pStyle w:val="berschrift4"/>
      </w:pPr>
      <w:r>
        <w:rPr>
          <w:rStyle w:val="VerbatimChar"/>
        </w:rPr>
        <w:t xml:space="preserve">3.7.</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32" w:name="threshold-requirements-24"/>
    <w:p>
      <w:pPr>
        <w:pStyle w:val="berschrift5"/>
      </w:pPr>
      <w:r>
        <w:t xml:space="preserve">Threshold requirements:</w:t>
      </w:r>
    </w:p>
    <w:p>
      <w:pPr>
        <w:pStyle w:val="FirstParagraph"/>
      </w:pPr>
      <w:r>
        <w:t xml:space="preserve">Image attributes:</w:t>
      </w:r>
    </w:p>
    <w:p>
      <w:pPr>
        <w:pStyle w:val="Compact"/>
        <w:numPr>
          <w:ilvl w:val="0"/>
          <w:numId w:val="1058"/>
        </w:numPr>
      </w:pPr>
      <w:r>
        <w:t xml:space="preserve">Number of lines</w:t>
      </w:r>
    </w:p>
    <w:p>
      <w:pPr>
        <w:pStyle w:val="Compact"/>
        <w:numPr>
          <w:ilvl w:val="0"/>
          <w:numId w:val="1058"/>
        </w:numPr>
      </w:pPr>
      <w:r>
        <w:t xml:space="preserve">Number of pixels per line</w:t>
      </w:r>
    </w:p>
    <w:p>
      <w:pPr>
        <w:pStyle w:val="Compact"/>
        <w:numPr>
          <w:ilvl w:val="0"/>
          <w:numId w:val="1058"/>
        </w:numPr>
      </w:pPr>
      <w:r>
        <w:t xml:space="preserve">File header size (if applicable)</w:t>
      </w:r>
    </w:p>
    <w:p>
      <w:pPr>
        <w:pStyle w:val="Compact"/>
        <w:numPr>
          <w:ilvl w:val="0"/>
          <w:numId w:val="1058"/>
        </w:numPr>
      </w:pPr>
      <w:r>
        <w:t xml:space="preserve">Number of no-data border pixels (if applicable)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4"/>
    <w:bookmarkEnd w:id="135"/>
    <w:bookmarkStart w:id="139" w:name="Xec46cf7db597e44ff2abc275345728e361b06e7"/>
    <w:p>
      <w:pPr>
        <w:pStyle w:val="berschrift4"/>
      </w:pPr>
      <w:r>
        <w:rPr>
          <w:rStyle w:val="VerbatimChar"/>
        </w:rPr>
        <w:t xml:space="preserve">3.8.</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36" w:name="threshold-requirements-25"/>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8"/>
    <w:bookmarkEnd w:id="139"/>
    <w:bookmarkStart w:id="143" w:name="sec:prd.metadata-crs"/>
    <w:p>
      <w:pPr>
        <w:pStyle w:val="berschrift4"/>
      </w:pPr>
      <w:r>
        <w:rPr>
          <w:rStyle w:val="VerbatimChar"/>
        </w:rPr>
        <w:t xml:space="preserve">3.9.</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0" w:name="threshold-requirements-26"/>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2"/>
    <w:bookmarkEnd w:id="143"/>
    <w:bookmarkStart w:id="147" w:name="sec:prd.metadata-radar-unit-look-vector"/>
    <w:p>
      <w:pPr>
        <w:pStyle w:val="berschrift4"/>
      </w:pPr>
      <w:r>
        <w:rPr>
          <w:rStyle w:val="VerbatimChar"/>
        </w:rPr>
        <w:t xml:space="preserve">3.10.</w:t>
      </w:r>
      <w:r>
        <w:t xml:space="preserve"> </w:t>
      </w:r>
      <w:r>
        <w:t xml:space="preserve">Product Metadata: Radar Unit Look Vector</w:t>
      </w:r>
    </w:p>
    <w:p>
      <w:pPr>
        <w:pStyle w:val="FirstParagraph"/>
      </w:pPr>
      <w:r>
        <w:t xml:space="preserve">Identifier:</w:t>
      </w:r>
      <w:r>
        <w:t xml:space="preserve"> </w:t>
      </w:r>
      <w:r>
        <w:rPr>
          <w:rStyle w:val="VerbatimChar"/>
        </w:rPr>
        <w:t xml:space="preserve">prd.metadata-radar-unit-look-vector</w:t>
      </w:r>
    </w:p>
    <w:bookmarkStart w:id="144" w:name="threshold-requirements-27"/>
    <w:p>
      <w:pPr>
        <w:pStyle w:val="berschrift5"/>
      </w:pPr>
      <w:r>
        <w:t xml:space="preserve">Threshold requirements:</w:t>
      </w:r>
    </w:p>
    <w:p>
      <w:pPr>
        <w:pStyle w:val="FirstParagraph"/>
      </w:pPr>
      <w:r>
        <w:t xml:space="preserve">3-D components radar unit look vector, specified at centre of scene, in an Earth-Centred Earth-Fixed (ECEF) coordinate system (also called Earth Centred Rotating - ECR) is provided.</w:t>
      </w:r>
      <w:r>
        <w:t xml:space="preserve"> </w:t>
      </w:r>
      <w:r>
        <w:t xml:space="preserve">It consists of unit vectors from antenna to surface pixel (i.e., positive Z component).</w:t>
      </w:r>
      <w:r>
        <w:t xml:space="preserve"> </w:t>
      </w:r>
      <w:r>
        <w:t xml:space="preserve">Only required if a Radar Unit Look Vector Grid Image (see Section </w:t>
      </w:r>
      <w:r>
        <w:t xml:space="preserve">“</w:t>
      </w:r>
      <w:hyperlink w:anchor="X4a767b65c9b3e55e491f1d9fde6bc847c807905">
        <w:r>
          <w:rPr>
            <w:rStyle w:val="Hyperlink"/>
          </w:rPr>
          <w:t xml:space="preserve">Per-Pixel Metadata: Radar Unit Look Vector Grid Image</w:t>
        </w:r>
      </w:hyperlink>
      <w:r>
        <w:t xml:space="preserve">”</w:t>
      </w:r>
      <w:r>
        <w:t xml:space="preserve">) is</w:t>
      </w:r>
      <w:r>
        <w:t xml:space="preserve"> </w:t>
      </w:r>
      <w:r>
        <w:rPr>
          <w:b/>
          <w:bCs/>
        </w:rPr>
        <w:t xml:space="preserve">not</w:t>
      </w:r>
      <w:r>
        <w:t xml:space="preserve"> </w:t>
      </w:r>
      <w:r>
        <w:t xml:space="preserve">provided.</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6"/>
    <w:bookmarkEnd w:id="147"/>
    <w:bookmarkStart w:id="151" w:name="sec:prd.metadata-slant-range"/>
    <w:p>
      <w:pPr>
        <w:pStyle w:val="berschrift4"/>
      </w:pPr>
      <w:r>
        <w:rPr>
          <w:rStyle w:val="VerbatimChar"/>
        </w:rPr>
        <w:t xml:space="preserve">3.11.</w:t>
      </w:r>
      <w:r>
        <w:t xml:space="preserve"> </w:t>
      </w:r>
      <w:r>
        <w:t xml:space="preserve">Product Metadata: Slant Range Sensor to Surface</w:t>
      </w:r>
    </w:p>
    <w:p>
      <w:pPr>
        <w:pStyle w:val="FirstParagraph"/>
      </w:pPr>
      <w:r>
        <w:t xml:space="preserve">Identifier:</w:t>
      </w:r>
      <w:r>
        <w:t xml:space="preserve"> </w:t>
      </w:r>
      <w:r>
        <w:rPr>
          <w:rStyle w:val="VerbatimChar"/>
        </w:rPr>
        <w:t xml:space="preserve">prd.metadata-slant-range</w:t>
      </w:r>
    </w:p>
    <w:bookmarkStart w:id="148" w:name="threshold-requirements-28"/>
    <w:p>
      <w:pPr>
        <w:pStyle w:val="berschrift5"/>
      </w:pPr>
      <w:r>
        <w:t xml:space="preserve">Threshold requirements:</w:t>
      </w:r>
    </w:p>
    <w:p>
      <w:pPr>
        <w:pStyle w:val="FirstParagraph"/>
      </w:pPr>
      <w:r>
        <w:t xml:space="preserve">Slant range distance from the sensor to the surface, specified at centre of scene.</w:t>
      </w:r>
      <w:r>
        <w:t xml:space="preserve"> </w:t>
      </w:r>
      <w:r>
        <w:t xml:space="preserve">Only required if a Slant Range Sensor to Surface Image (see Section </w:t>
      </w:r>
      <w:r>
        <w:t xml:space="preserve">“</w:t>
      </w:r>
      <w:hyperlink w:anchor="sec:pxl.per-pixel-slant-range">
        <w:r>
          <w:rPr>
            <w:rStyle w:val="Hyperlink"/>
          </w:rPr>
          <w:t xml:space="preserve">Per-Pixel Metadata: Slant Range Sensor to Surface Image</w:t>
        </w:r>
      </w:hyperlink>
      <w:r>
        <w:t xml:space="preserve">”</w:t>
      </w:r>
      <w:r>
        <w:t xml:space="preserve">) is</w:t>
      </w:r>
      <w:r>
        <w:t xml:space="preserve"> </w:t>
      </w:r>
      <w:r>
        <w:rPr>
          <w:b/>
          <w:bCs/>
        </w:rPr>
        <w:t xml:space="preserve">not</w:t>
      </w:r>
      <w:r>
        <w:t xml:space="preserve"> </w:t>
      </w:r>
      <w:r>
        <w:t xml:space="preserve">provided.</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50"/>
    <w:bookmarkEnd w:id="151"/>
    <w:bookmarkStart w:id="155" w:name="sec:prd.metadata-orbit-reference-gslc"/>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prd.metadata-orbit-reference-gslc</w:t>
      </w:r>
    </w:p>
    <w:p>
      <w:pPr>
        <w:pStyle w:val="Textkrper"/>
      </w:pPr>
      <w:r>
        <w:rPr>
          <w:b/>
          <w:bCs/>
        </w:rPr>
        <w:t xml:space="preserve">Usage: When a reference orbit is used instead of a virtual orbit (see Section </w:t>
      </w:r>
      <w:r>
        <w:rPr>
          <w:b/>
          <w:bCs/>
        </w:rPr>
        <w:t xml:space="preserve">“</w:t>
      </w:r>
      <w:hyperlink w:anchor="sec:annex-sar-topographic-phase-removal">
        <w:r>
          <w:rPr>
            <w:rStyle w:val="Hyperlink"/>
            <w:b/>
            <w:bCs/>
          </w:rPr>
          <w:t xml:space="preserve">Topographic phase removal</w:t>
        </w:r>
      </w:hyperlink>
      <w:r>
        <w:rPr>
          <w:b/>
          <w:bCs/>
        </w:rPr>
        <w:t xml:space="preserve">”</w:t>
      </w:r>
      <w:r>
        <w:rPr>
          <w:b/>
          <w:bCs/>
        </w:rPr>
        <w:t xml:space="preserve">).</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bookmarkEnd w:id="154"/>
    <w:bookmarkEnd w:id="155"/>
    <w:bookmarkEnd w:id="156"/>
    <w:bookmarkStart w:id="21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7"/>
        </w:numPr>
      </w:pPr>
      <w:r>
        <w:t xml:space="preserve">Valid data</w:t>
      </w:r>
    </w:p>
    <w:p>
      <w:pPr>
        <w:pStyle w:val="Compact"/>
        <w:numPr>
          <w:ilvl w:val="0"/>
          <w:numId w:val="1067"/>
        </w:numPr>
      </w:pPr>
      <w:r>
        <w:t xml:space="preserve">Invalid data</w:t>
      </w:r>
    </w:p>
    <w:p>
      <w:pPr>
        <w:pStyle w:val="Compact"/>
        <w:numPr>
          <w:ilvl w:val="0"/>
          <w:numId w:val="1067"/>
        </w:numPr>
      </w:pPr>
      <w:r>
        <w:t xml:space="preserve">No data</w:t>
      </w:r>
    </w:p>
    <w:p>
      <w:pPr>
        <w:pStyle w:val="FirstParagraph"/>
      </w:pPr>
      <w:r>
        <w:t xml:space="preserve">File format specifications/contents provided in metadata:</w:t>
      </w:r>
    </w:p>
    <w:p>
      <w:pPr>
        <w:pStyle w:val="Compact"/>
        <w:numPr>
          <w:ilvl w:val="0"/>
          <w:numId w:val="1068"/>
        </w:numPr>
      </w:pPr>
      <w:r>
        <w:t xml:space="preserve">Sample Type (Mask)</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Compact"/>
        <w:numPr>
          <w:ilvl w:val="0"/>
          <w:numId w:val="1068"/>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69"/>
        </w:numPr>
      </w:pPr>
      <w:r>
        <w:t xml:space="preserve">Layover (masked as invalid data in threshold)</w:t>
      </w:r>
    </w:p>
    <w:p>
      <w:pPr>
        <w:pStyle w:val="Compact"/>
        <w:numPr>
          <w:ilvl w:val="0"/>
          <w:numId w:val="1069"/>
        </w:numPr>
      </w:pPr>
      <w:r>
        <w:t xml:space="preserve">Radar shadow (masked as invalid data in threshold)</w:t>
      </w:r>
    </w:p>
    <w:p>
      <w:pPr>
        <w:pStyle w:val="Compact"/>
        <w:numPr>
          <w:ilvl w:val="0"/>
          <w:numId w:val="1069"/>
        </w:numPr>
      </w:pPr>
      <w:r>
        <w:t xml:space="preserve">Ocean water</w:t>
      </w:r>
    </w:p>
    <w:p>
      <w:pPr>
        <w:pStyle w:val="Compact"/>
        <w:numPr>
          <w:ilvl w:val="0"/>
          <w:numId w:val="1069"/>
        </w:numPr>
      </w:pPr>
      <w:r>
        <w:t xml:space="preserve">Land (recommended for ORB)</w:t>
      </w:r>
    </w:p>
    <w:p>
      <w:pPr>
        <w:pStyle w:val="Compact"/>
        <w:numPr>
          <w:ilvl w:val="0"/>
          <w:numId w:val="1069"/>
        </w:numPr>
      </w:pPr>
      <w:r>
        <w:t xml:space="preserve">RTC applied (e.g., for maritime scenes with land samples for which RTC has been applied)</w:t>
      </w:r>
    </w:p>
    <w:p>
      <w:pPr>
        <w:pStyle w:val="Compact"/>
        <w:numPr>
          <w:ilvl w:val="0"/>
          <w:numId w:val="1069"/>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Goal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2"/>
        </w:numPr>
      </w:pPr>
      <w:r>
        <w:t xml:space="preserve">Sample Type (Angle)</w:t>
      </w:r>
    </w:p>
    <w:p>
      <w:pPr>
        <w:pStyle w:val="Compact"/>
        <w:numPr>
          <w:ilvl w:val="0"/>
          <w:numId w:val="1072"/>
        </w:numPr>
      </w:pPr>
      <w:r>
        <w:t xml:space="preserve">Data Format (GeoTIFF, HDF5, NetCDF, …)</w:t>
      </w:r>
    </w:p>
    <w:p>
      <w:pPr>
        <w:pStyle w:val="Compact"/>
        <w:numPr>
          <w:ilvl w:val="0"/>
          <w:numId w:val="1072"/>
        </w:numPr>
      </w:pPr>
      <w:r>
        <w:t xml:space="preserve">Data Type (Int, Float, …)</w:t>
      </w:r>
    </w:p>
    <w:p>
      <w:pPr>
        <w:pStyle w:val="Compact"/>
        <w:numPr>
          <w:ilvl w:val="0"/>
          <w:numId w:val="1072"/>
        </w:numPr>
      </w:pPr>
      <w:r>
        <w:t xml:space="preserve">Bits per Sample</w:t>
      </w:r>
    </w:p>
    <w:p>
      <w:pPr>
        <w:pStyle w:val="Compact"/>
        <w:numPr>
          <w:ilvl w:val="0"/>
          <w:numId w:val="1072"/>
        </w:numPr>
      </w:pPr>
      <w:r>
        <w:t xml:space="preserve">Byte Order</w:t>
      </w:r>
    </w:p>
    <w:p>
      <w:pPr>
        <w:pStyle w:val="FirstParagraph"/>
      </w:pPr>
      <w:r>
        <w:t xml:space="preserve">Notes:</w:t>
      </w:r>
    </w:p>
    <w:p>
      <w:pPr>
        <w:pStyle w:val="Compact"/>
        <w:numPr>
          <w:ilvl w:val="0"/>
          <w:numId w:val="1073"/>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Compact"/>
        <w:numPr>
          <w:ilvl w:val="0"/>
          <w:numId w:val="1075"/>
        </w:numPr>
      </w:pPr>
      <w:r>
        <w:t xml:space="preserve">Reference Ellipsoid Name</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78"/>
        </w:numPr>
      </w:pPr>
      <w:r>
        <w:t xml:space="preserve">Sample Type (Gamma-Nought, Sigma-Nought, Beta-Nought)</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bookmarkEnd w:id="182"/>
    <w:bookmarkStart w:id="183" w:name="assessment-36"/>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0"/>
        </w:numPr>
      </w:pPr>
      <w:r>
        <w:t xml:space="preserve">Sample Type (Ratio)</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6"/>
    <w:bookmarkStart w:id="187" w:name="assessment-37"/>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2"/>
        </w:numPr>
      </w:pPr>
      <w:r>
        <w:t xml:space="preserve">Sample type (Day, Time, ID)</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4"/>
        </w:numPr>
      </w:pPr>
      <w:r>
        <w:t xml:space="preserve">Sample Type (Height)</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4"/>
    <w:bookmarkStart w:id="195" w:name="assessment-39"/>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5"/>
    <w:bookmarkEnd w:id="196"/>
    <w:bookmarkStart w:id="200" w:name="X4a767b65c9b3e55e491f1d9fde6bc847c807905"/>
    <w:p>
      <w:pPr>
        <w:pStyle w:val="berschrift4"/>
      </w:pPr>
      <w:r>
        <w:rPr>
          <w:rStyle w:val="VerbatimChar"/>
        </w:rPr>
        <w:t xml:space="preserve">4.11.</w:t>
      </w:r>
      <w:r>
        <w:t xml:space="preserve"> </w:t>
      </w:r>
      <w:r>
        <w:t xml:space="preserve">Per-Pixel Metadata: Radar Unit Look Vector Grid Image</w:t>
      </w:r>
    </w:p>
    <w:p>
      <w:pPr>
        <w:pStyle w:val="FirstParagraph"/>
      </w:pPr>
      <w:r>
        <w:t xml:space="preserve">Identifier:</w:t>
      </w:r>
      <w:r>
        <w:t xml:space="preserve"> </w:t>
      </w:r>
      <w:r>
        <w:rPr>
          <w:rStyle w:val="VerbatimChar"/>
        </w:rPr>
        <w:t xml:space="preserve">pxl.per-pixel-radar-unit-look-vector-grid</w:t>
      </w:r>
    </w:p>
    <w:bookmarkStart w:id="197" w:name="threshold-requirements-40"/>
    <w:p>
      <w:pPr>
        <w:pStyle w:val="berschrift5"/>
      </w:pPr>
      <w:r>
        <w:t xml:space="preserve">Threshold requirements:</w:t>
      </w:r>
    </w:p>
    <w:p>
      <w:pPr>
        <w:pStyle w:val="FirstParagraph"/>
      </w:pPr>
      <w:r>
        <w:rPr>
          <w:i/>
          <w:iCs/>
        </w:rPr>
        <w:t xml:space="preserve">None</w:t>
      </w:r>
    </w:p>
    <w:bookmarkEnd w:id="197"/>
    <w:bookmarkStart w:id="198" w:name="goal-requirements-40"/>
    <w:p>
      <w:pPr>
        <w:pStyle w:val="berschrift5"/>
      </w:pPr>
      <w:r>
        <w:t xml:space="preserve">Goal requirements:</w:t>
      </w:r>
    </w:p>
    <w:p>
      <w:pPr>
        <w:pStyle w:val="FirstParagraph"/>
      </w:pPr>
      <w:r>
        <w:t xml:space="preserve">3-D components radar unit look vector, specified at each pixel in an Earth-Centred Earth-Fixed (ECEF) coordinate system (also called Earth Centred Rotating – ECR) is provided.</w:t>
      </w:r>
      <w:r>
        <w:t xml:space="preserve"> </w:t>
      </w:r>
      <w:r>
        <w:t xml:space="preserve">It consists of unit vectors from the antenna to the surface pixel (i.e., positive Z component).</w:t>
      </w:r>
    </w:p>
    <w:p>
      <w:pPr>
        <w:pStyle w:val="Textkrper"/>
      </w:pPr>
      <w:r>
        <w:t xml:space="preserve">File format specifications/contents provided in metadata:</w:t>
      </w:r>
    </w:p>
    <w:p>
      <w:pPr>
        <w:pStyle w:val="Compact"/>
        <w:numPr>
          <w:ilvl w:val="0"/>
          <w:numId w:val="1086"/>
        </w:numPr>
      </w:pPr>
      <w:r>
        <w:t xml:space="preserve">Sample Type (3D unit vector)</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8"/>
    <w:bookmarkStart w:id="199" w:name="assessment-40"/>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199"/>
    <w:bookmarkEnd w:id="200"/>
    <w:bookmarkStart w:id="204" w:name="sec:pxl.per-pixel-slant-range"/>
    <w:p>
      <w:pPr>
        <w:pStyle w:val="berschrift4"/>
      </w:pPr>
      <w:r>
        <w:rPr>
          <w:rStyle w:val="VerbatimChar"/>
        </w:rPr>
        <w:t xml:space="preserve">4.12.</w:t>
      </w:r>
      <w:r>
        <w:t xml:space="preserve"> </w:t>
      </w:r>
      <w:r>
        <w:t xml:space="preserve">Per-Pixel Metadata: Slant Range Sensor to Surface Image</w:t>
      </w:r>
    </w:p>
    <w:p>
      <w:pPr>
        <w:pStyle w:val="FirstParagraph"/>
      </w:pPr>
      <w:r>
        <w:t xml:space="preserve">Identifier:</w:t>
      </w:r>
      <w:r>
        <w:t xml:space="preserve"> </w:t>
      </w:r>
      <w:r>
        <w:rPr>
          <w:rStyle w:val="VerbatimChar"/>
        </w:rPr>
        <w:t xml:space="preserve">pxl.per-pixel-slant-range</w:t>
      </w:r>
    </w:p>
    <w:bookmarkStart w:id="201" w:name="threshold-requirements-41"/>
    <w:p>
      <w:pPr>
        <w:pStyle w:val="berschrift5"/>
      </w:pPr>
      <w:r>
        <w:t xml:space="preserve">Threshold requirements:</w:t>
      </w:r>
    </w:p>
    <w:p>
      <w:pPr>
        <w:pStyle w:val="FirstParagraph"/>
      </w:pPr>
      <w:r>
        <w:rPr>
          <w:i/>
          <w:iCs/>
        </w:rPr>
        <w:t xml:space="preserve">None</w:t>
      </w:r>
    </w:p>
    <w:bookmarkEnd w:id="201"/>
    <w:bookmarkStart w:id="202" w:name="goal-requirements-41"/>
    <w:p>
      <w:pPr>
        <w:pStyle w:val="berschrift5"/>
      </w:pPr>
      <w:r>
        <w:t xml:space="preserve">Goal requirements:</w:t>
      </w:r>
    </w:p>
    <w:p>
      <w:pPr>
        <w:pStyle w:val="FirstParagraph"/>
      </w:pPr>
      <w:r>
        <w:t xml:space="preserve">Slant range distance from the sensor to the surface, specified at each pixel in an Earth-Centred Earth-Fixed (ECEF) coordinate system (also called Earth Centred Rotating – ECR) is provided.</w:t>
      </w:r>
    </w:p>
    <w:p>
      <w:pPr>
        <w:pStyle w:val="Textkrper"/>
      </w:pPr>
      <w:r>
        <w:t xml:space="preserve">File format specifications/contents provided in metadata:</w:t>
      </w:r>
    </w:p>
    <w:p>
      <w:pPr>
        <w:pStyle w:val="Compact"/>
        <w:numPr>
          <w:ilvl w:val="0"/>
          <w:numId w:val="1088"/>
        </w:numPr>
      </w:pPr>
      <w:r>
        <w:t xml:space="preserve">Sample Type (Distance)</w:t>
      </w:r>
    </w:p>
    <w:p>
      <w:pPr>
        <w:pStyle w:val="Compact"/>
        <w:numPr>
          <w:ilvl w:val="0"/>
          <w:numId w:val="1088"/>
        </w:numPr>
      </w:pPr>
      <w:r>
        <w:t xml:space="preserve">Data Format (GeoTIFF, HDF5, NetCDF, …)</w:t>
      </w:r>
    </w:p>
    <w:p>
      <w:pPr>
        <w:pStyle w:val="Compact"/>
        <w:numPr>
          <w:ilvl w:val="0"/>
          <w:numId w:val="1088"/>
        </w:numPr>
      </w:pPr>
      <w:r>
        <w:t xml:space="preserve">Data Type (Int, Float, …)</w:t>
      </w:r>
    </w:p>
    <w:p>
      <w:pPr>
        <w:pStyle w:val="Compact"/>
        <w:numPr>
          <w:ilvl w:val="0"/>
          <w:numId w:val="1088"/>
        </w:numPr>
      </w:pPr>
      <w:r>
        <w:t xml:space="preserve">Bits per Sample</w:t>
      </w:r>
    </w:p>
    <w:p>
      <w:pPr>
        <w:pStyle w:val="Compact"/>
        <w:numPr>
          <w:ilvl w:val="0"/>
          <w:numId w:val="1088"/>
        </w:numPr>
      </w:pPr>
      <w:r>
        <w:t xml:space="preserve">Byte Order</w:t>
      </w:r>
    </w:p>
    <w:bookmarkEnd w:id="202"/>
    <w:bookmarkStart w:id="203" w:name="assessment-41"/>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3"/>
    <w:bookmarkEnd w:id="204"/>
    <w:bookmarkStart w:id="208" w:name="X9cea8c1dc7d93ab6e879d448c9c5cce0283a0a4"/>
    <w:p>
      <w:pPr>
        <w:pStyle w:val="berschrift4"/>
      </w:pPr>
      <w:r>
        <w:rPr>
          <w:rStyle w:val="VerbatimChar"/>
        </w:rPr>
        <w:t xml:space="preserve">4.13.</w:t>
      </w:r>
      <w:r>
        <w:t xml:space="preserve"> </w:t>
      </w:r>
      <w:r>
        <w:t xml:space="preserve">Per-Pixel Metadata: InSAR Phase Uncertainty Image</w:t>
      </w:r>
    </w:p>
    <w:p>
      <w:pPr>
        <w:pStyle w:val="FirstParagraph"/>
      </w:pPr>
      <w:r>
        <w:t xml:space="preserve">Identifier:</w:t>
      </w:r>
      <w:r>
        <w:t xml:space="preserve"> </w:t>
      </w:r>
      <w:r>
        <w:rPr>
          <w:rStyle w:val="VerbatimChar"/>
        </w:rPr>
        <w:t xml:space="preserve">pxl.per-pixel-insar-phase-uncertainty</w:t>
      </w:r>
    </w:p>
    <w:bookmarkStart w:id="205" w:name="threshold-requirements-42"/>
    <w:p>
      <w:pPr>
        <w:pStyle w:val="berschrift5"/>
      </w:pPr>
      <w:r>
        <w:t xml:space="preserve">Threshold requirements:</w:t>
      </w:r>
    </w:p>
    <w:p>
      <w:pPr>
        <w:pStyle w:val="FirstParagraph"/>
      </w:pPr>
      <w:r>
        <w:rPr>
          <w:i/>
          <w:iCs/>
        </w:rPr>
        <w:t xml:space="preserve">None</w:t>
      </w:r>
    </w:p>
    <w:bookmarkEnd w:id="205"/>
    <w:bookmarkStart w:id="206" w:name="goal-requirements-42"/>
    <w:p>
      <w:pPr>
        <w:pStyle w:val="berschrift5"/>
      </w:pPr>
      <w:r>
        <w:t xml:space="preserve">Goal requirements:</w:t>
      </w:r>
    </w:p>
    <w:p>
      <w:pPr>
        <w:pStyle w:val="FirstParagraph"/>
      </w:pPr>
      <w:r>
        <w:t xml:space="preserve">Estimate of uncertainty in InSAR phase is provided, such as finite signal to noise ratio, quantization noise, or DEM error.</w:t>
      </w:r>
      <w:r>
        <w:t xml:space="preserve"> </w:t>
      </w:r>
      <w:r>
        <w:t xml:space="preserve">Identification of which error sources are included will be provided as DOI/URL reference or brief description.</w:t>
      </w:r>
      <w:r>
        <w:t xml:space="preserve"> </w:t>
      </w:r>
      <w:r>
        <w:t xml:space="preserve">It represents statistical variation from known noise sources only.</w:t>
      </w:r>
    </w:p>
    <w:p>
      <w:pPr>
        <w:pStyle w:val="Textkrper"/>
      </w:pPr>
      <w:r>
        <w:t xml:space="preserve">File format specifications/contents provided in metadata:</w:t>
      </w:r>
    </w:p>
    <w:p>
      <w:pPr>
        <w:pStyle w:val="Compact"/>
        <w:numPr>
          <w:ilvl w:val="0"/>
          <w:numId w:val="1090"/>
        </w:numPr>
      </w:pPr>
      <w:r>
        <w:t xml:space="preserve">Sample Type (Angle)</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bookmarkEnd w:id="206"/>
    <w:bookmarkStart w:id="207" w:name="assessment-42"/>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7"/>
    <w:bookmarkEnd w:id="208"/>
    <w:bookmarkStart w:id="212" w:name="Xa3b9db384be8b06d0339bf20ea6c91c101142b9"/>
    <w:p>
      <w:pPr>
        <w:pStyle w:val="berschrift4"/>
      </w:pPr>
      <w:r>
        <w:rPr>
          <w:rStyle w:val="VerbatimChar"/>
        </w:rPr>
        <w:t xml:space="preserve">4.14.</w:t>
      </w:r>
      <w:r>
        <w:t xml:space="preserve"> </w:t>
      </w:r>
      <w:r>
        <w:t xml:space="preserve">Per-Pixel Metadata: Atmospheric Phase Correction Image</w:t>
      </w:r>
    </w:p>
    <w:p>
      <w:pPr>
        <w:pStyle w:val="FirstParagraph"/>
      </w:pPr>
      <w:r>
        <w:t xml:space="preserve">Identifier:</w:t>
      </w:r>
      <w:r>
        <w:t xml:space="preserve"> </w:t>
      </w:r>
      <w:r>
        <w:rPr>
          <w:rStyle w:val="VerbatimChar"/>
        </w:rPr>
        <w:t xml:space="preserve">pxl.per-pixel-atmospheric-phase-correction</w:t>
      </w:r>
    </w:p>
    <w:bookmarkStart w:id="209" w:name="threshold-requirements-43"/>
    <w:p>
      <w:pPr>
        <w:pStyle w:val="berschrift5"/>
      </w:pPr>
      <w:r>
        <w:t xml:space="preserve">Threshold requirements:</w:t>
      </w:r>
    </w:p>
    <w:p>
      <w:pPr>
        <w:pStyle w:val="FirstParagraph"/>
      </w:pPr>
      <w:r>
        <w:rPr>
          <w:i/>
          <w:iCs/>
        </w:rPr>
        <w:t xml:space="preserve">None</w:t>
      </w:r>
    </w:p>
    <w:bookmarkEnd w:id="209"/>
    <w:bookmarkStart w:id="210" w:name="goal-requirements-43"/>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2"/>
        </w:numPr>
      </w:pPr>
      <w:r>
        <w:t xml:space="preserve">Sample Type (Angle)</w:t>
      </w:r>
    </w:p>
    <w:p>
      <w:pPr>
        <w:pStyle w:val="Compact"/>
        <w:numPr>
          <w:ilvl w:val="0"/>
          <w:numId w:val="1092"/>
        </w:numPr>
      </w:pPr>
      <w:r>
        <w:t xml:space="preserve">Data Format (GeoTIFF, HDF5, NetCDF, …)</w:t>
      </w:r>
    </w:p>
    <w:p>
      <w:pPr>
        <w:pStyle w:val="Compact"/>
        <w:numPr>
          <w:ilvl w:val="0"/>
          <w:numId w:val="1092"/>
        </w:numPr>
      </w:pPr>
      <w:r>
        <w:t xml:space="preserve">Data Type (Int, Float, …)</w:t>
      </w:r>
    </w:p>
    <w:p>
      <w:pPr>
        <w:pStyle w:val="Compact"/>
        <w:numPr>
          <w:ilvl w:val="0"/>
          <w:numId w:val="1092"/>
        </w:numPr>
      </w:pPr>
      <w:r>
        <w:t xml:space="preserve">Bits per Sample</w:t>
      </w:r>
    </w:p>
    <w:p>
      <w:pPr>
        <w:pStyle w:val="Compact"/>
        <w:numPr>
          <w:ilvl w:val="0"/>
          <w:numId w:val="1092"/>
        </w:numPr>
      </w:pPr>
      <w:r>
        <w:t xml:space="preserve">Byte Order</w:t>
      </w:r>
    </w:p>
    <w:bookmarkEnd w:id="210"/>
    <w:bookmarkStart w:id="211" w:name="assessment-43"/>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1"/>
    <w:bookmarkEnd w:id="212"/>
    <w:bookmarkStart w:id="216" w:name="Xc47e4e371c5fc37a0b150c394967999a57df9cc"/>
    <w:p>
      <w:pPr>
        <w:pStyle w:val="berschrift4"/>
      </w:pPr>
      <w:r>
        <w:rPr>
          <w:rStyle w:val="VerbatimChar"/>
        </w:rPr>
        <w:t xml:space="preserve">4.15.</w:t>
      </w:r>
      <w:r>
        <w:t xml:space="preserve"> </w:t>
      </w:r>
      <w:r>
        <w:t xml:space="preserve">Per-Pixel Metadata: Ionospheric Phase Correction Image</w:t>
      </w:r>
    </w:p>
    <w:p>
      <w:pPr>
        <w:pStyle w:val="FirstParagraph"/>
      </w:pPr>
      <w:r>
        <w:t xml:space="preserve">Identifier:</w:t>
      </w:r>
      <w:r>
        <w:t xml:space="preserve"> </w:t>
      </w:r>
      <w:r>
        <w:rPr>
          <w:rStyle w:val="VerbatimChar"/>
        </w:rPr>
        <w:t xml:space="preserve">pxl.per-pixel-ionospheric-phase-correction</w:t>
      </w:r>
    </w:p>
    <w:bookmarkStart w:id="213" w:name="threshold-requirements-44"/>
    <w:p>
      <w:pPr>
        <w:pStyle w:val="berschrift5"/>
      </w:pPr>
      <w:r>
        <w:t xml:space="preserve">Threshold requirements:</w:t>
      </w:r>
    </w:p>
    <w:p>
      <w:pPr>
        <w:pStyle w:val="FirstParagraph"/>
      </w:pPr>
      <w:r>
        <w:rPr>
          <w:i/>
          <w:iCs/>
        </w:rPr>
        <w:t xml:space="preserve">None</w:t>
      </w:r>
    </w:p>
    <w:bookmarkEnd w:id="213"/>
    <w:bookmarkStart w:id="214" w:name="goal-requirements-44"/>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4"/>
        </w:numPr>
      </w:pPr>
      <w:r>
        <w:t xml:space="preserve">Sample Type (Angle)</w:t>
      </w:r>
    </w:p>
    <w:p>
      <w:pPr>
        <w:pStyle w:val="Compact"/>
        <w:numPr>
          <w:ilvl w:val="0"/>
          <w:numId w:val="1094"/>
        </w:numPr>
      </w:pPr>
      <w:r>
        <w:t xml:space="preserve">Data Format (GeoTIFF, HDF5, NetCDF, …)</w:t>
      </w:r>
    </w:p>
    <w:p>
      <w:pPr>
        <w:pStyle w:val="Compact"/>
        <w:numPr>
          <w:ilvl w:val="0"/>
          <w:numId w:val="1094"/>
        </w:numPr>
      </w:pPr>
      <w:r>
        <w:t xml:space="preserve">Data Type (Int, Float, …)</w:t>
      </w:r>
    </w:p>
    <w:p>
      <w:pPr>
        <w:pStyle w:val="Compact"/>
        <w:numPr>
          <w:ilvl w:val="0"/>
          <w:numId w:val="1094"/>
        </w:numPr>
      </w:pPr>
      <w:r>
        <w:t xml:space="preserve">Bits per Sample</w:t>
      </w:r>
    </w:p>
    <w:p>
      <w:pPr>
        <w:pStyle w:val="Compact"/>
        <w:numPr>
          <w:ilvl w:val="0"/>
          <w:numId w:val="1094"/>
        </w:numPr>
      </w:pPr>
      <w:r>
        <w:t xml:space="preserve">Byte Order</w:t>
      </w:r>
    </w:p>
    <w:bookmarkEnd w:id="214"/>
    <w:bookmarkStart w:id="215" w:name="assessment-44"/>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bookmarkEnd w:id="215"/>
    <w:bookmarkEnd w:id="216"/>
    <w:bookmarkEnd w:id="217"/>
    <w:bookmarkStart w:id="242"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2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All files are provided using cloud-optimized file formats.</w:t>
      </w:r>
    </w:p>
    <w:bookmarkEnd w:id="219"/>
    <w:bookmarkStart w:id="220" w:name="assessment-45"/>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20"/>
    <w:bookmarkEnd w:id="221"/>
    <w:bookmarkStart w:id="225" w:name="sec:rcm.measurements-backscatter-gslc"/>
    <w:p>
      <w:pPr>
        <w:pStyle w:val="berschrift4"/>
      </w:pPr>
      <w:r>
        <w:rPr>
          <w:rStyle w:val="VerbatimChar"/>
        </w:rPr>
        <w:t xml:space="preserve">5.2.</w:t>
      </w:r>
      <w:r>
        <w:t xml:space="preserve"> </w:t>
      </w:r>
      <w:r>
        <w:t xml:space="preserve">Radiometrically Corrected Measurements: Backscatter Measurements [GSLC]</w:t>
      </w:r>
    </w:p>
    <w:p>
      <w:pPr>
        <w:pStyle w:val="FirstParagraph"/>
      </w:pPr>
      <w:r>
        <w:t xml:space="preserve">Identifier:</w:t>
      </w:r>
      <w:r>
        <w:t xml:space="preserve"> </w:t>
      </w:r>
      <w:r>
        <w:rPr>
          <w:rStyle w:val="VerbatimChar"/>
        </w:rPr>
        <w:t xml:space="preserve">rcm.measurements-backscatter-gslc</w:t>
      </w:r>
    </w:p>
    <w:bookmarkStart w:id="222" w:name="threshold-requirements-46"/>
    <w:p>
      <w:pPr>
        <w:pStyle w:val="berschrift5"/>
      </w:pPr>
      <w:r>
        <w:t xml:space="preserve">Threshold requirements:</w:t>
      </w:r>
    </w:p>
    <w:p>
      <w:pPr>
        <w:pStyle w:val="FirstParagraph"/>
      </w:pPr>
      <w:r>
        <w:t xml:space="preserve">Radiometric and Phase Terrain-flattened Gamma-Nought backscatter coefficient (</w:t>
      </w:r>
      <m:oMath>
        <m:sSubSup>
          <m:e>
            <m:r>
              <m:t>γ</m:t>
            </m:r>
          </m:e>
          <m:sub>
            <m:r>
              <m:t>T</m:t>
            </m:r>
          </m:sub>
          <m:sup>
            <m:r>
              <m:t>0</m:t>
            </m:r>
          </m:sup>
        </m:sSubSup>
      </m:oMath>
      <w:r>
        <w:t xml:space="preserve">), in complex number format, is provided for each polarization (e.g., HH, HV, VV, VH).</w:t>
      </w:r>
    </w:p>
    <w:p>
      <w:pPr>
        <w:pStyle w:val="Textkrper"/>
      </w:pPr>
      <w:r>
        <w:t xml:space="preserve">File format specifications/contents provided in metadata:</w:t>
      </w:r>
    </w:p>
    <w:p>
      <w:pPr>
        <w:pStyle w:val="Compact"/>
        <w:numPr>
          <w:ilvl w:val="0"/>
          <w:numId w:val="1097"/>
        </w:numPr>
      </w:pPr>
      <w:r>
        <w:t xml:space="preserve">Measurement Type (Gamma-Nought)</w:t>
      </w:r>
    </w:p>
    <w:p>
      <w:pPr>
        <w:pStyle w:val="Compact"/>
        <w:numPr>
          <w:ilvl w:val="0"/>
          <w:numId w:val="1097"/>
        </w:numPr>
      </w:pPr>
      <w:r>
        <w:t xml:space="preserve">Backscatter Expression Convention (linear amplitude, linear power*)</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Transformation to the logarithm decibel scale is not required or desired as this step can be completed by the user if necessary.</w:t>
      </w:r>
    </w:p>
    <w:bookmarkEnd w:id="222"/>
    <w:bookmarkStart w:id="223" w:name="goal-requirements-46"/>
    <w:p>
      <w:pPr>
        <w:pStyle w:val="berschrift5"/>
      </w:pPr>
      <w:r>
        <w:t xml:space="preserve">Goal requirements:</w:t>
      </w:r>
    </w:p>
    <w:p>
      <w:pPr>
        <w:pStyle w:val="FirstParagraph"/>
      </w:pPr>
      <w:r>
        <w:rPr>
          <w:i/>
          <w:iCs/>
        </w:rPr>
        <w:t xml:space="preserve">None</w:t>
      </w:r>
    </w:p>
    <w:bookmarkEnd w:id="223"/>
    <w:bookmarkStart w:id="224" w:name="assessment-46"/>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4"/>
    <w:bookmarkEnd w:id="225"/>
    <w:bookmarkStart w:id="22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26" w:name="threshold-requirements-47"/>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26"/>
    <w:bookmarkStart w:id="227" w:name="goal-requirements-47"/>
    <w:p>
      <w:pPr>
        <w:pStyle w:val="berschrift5"/>
      </w:pPr>
      <w:r>
        <w:t xml:space="preserve">Goal requirements:</w:t>
      </w:r>
    </w:p>
    <w:p>
      <w:pPr>
        <w:pStyle w:val="FirstParagraph"/>
      </w:pPr>
      <w:r>
        <w:t xml:space="preserve">Use of float32.</w:t>
      </w:r>
    </w:p>
    <w:bookmarkEnd w:id="227"/>
    <w:bookmarkStart w:id="228" w:name="assessment-47"/>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p>
      <w:r>
        <w:pict>
          <v:rect style="width:0;height:1.5pt" o:hralign="center" o:hrstd="t" o:hr="t"/>
        </w:pict>
      </w:r>
    </w:p>
    <w:bookmarkEnd w:id="228"/>
    <w:bookmarkEnd w:id="229"/>
    <w:bookmarkStart w:id="23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30" w:name="threshold-requirements-48"/>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101"/>
        </w:numPr>
      </w:pPr>
      <w:r>
        <w:t xml:space="preserve">Thermal noise removal and image border noise removal to remove overall scene noise and scene edge artefacts, respectively.</w:t>
      </w:r>
    </w:p>
    <w:bookmarkEnd w:id="230"/>
    <w:bookmarkStart w:id="231" w:name="goal-requirements-48"/>
    <w:p>
      <w:pPr>
        <w:pStyle w:val="berschrift5"/>
      </w:pPr>
      <w:r>
        <w:t xml:space="preserve">Goal requirements:</w:t>
      </w:r>
    </w:p>
    <w:p>
      <w:pPr>
        <w:pStyle w:val="FirstParagraph"/>
      </w:pPr>
      <w:r>
        <w:rPr>
          <w:i/>
          <w:iCs/>
        </w:rPr>
        <w:t xml:space="preserve">None</w:t>
      </w:r>
    </w:p>
    <w:bookmarkEnd w:id="231"/>
    <w:bookmarkStart w:id="232" w:name="assessment-48"/>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32"/>
    <w:bookmarkEnd w:id="233"/>
    <w:bookmarkStart w:id="237" w:name="Xc432a7d2e8f300282557deeaa8a04d77d92c044"/>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rcm.corrections-radiometric-terrain-correction-gslc</w:t>
      </w:r>
    </w:p>
    <w:bookmarkStart w:id="234" w:name="threshold-requirements-49"/>
    <w:p>
      <w:pPr>
        <w:pStyle w:val="berschrift5"/>
      </w:pPr>
      <w:r>
        <w:t xml:space="preserve">Threshold requirements:</w:t>
      </w:r>
    </w:p>
    <w:p>
      <w:pPr>
        <w:pStyle w:val="FirstParagraph"/>
      </w:pPr>
      <w:r>
        <w:rPr>
          <w:i/>
          <w:iCs/>
        </w:rPr>
        <w:t xml:space="preserve">None</w:t>
      </w:r>
    </w:p>
    <w:bookmarkEnd w:id="234"/>
    <w:bookmarkStart w:id="235" w:name="goal-requirements-49"/>
    <w:p>
      <w:pPr>
        <w:pStyle w:val="berschrift5"/>
      </w:pPr>
      <w:r>
        <w:t xml:space="preserve">Goal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103"/>
        </w:numPr>
      </w:pPr>
      <w:r>
        <w:t xml:space="preserve">a citable peer-reviewed algorithm</w:t>
      </w:r>
    </w:p>
    <w:p>
      <w:pPr>
        <w:pStyle w:val="Compact"/>
        <w:numPr>
          <w:ilvl w:val="0"/>
          <w:numId w:val="1103"/>
        </w:numPr>
      </w:pPr>
      <w:r>
        <w:t xml:space="preserve">technical documentation regarding the algorithm used to generate the backscatter estimates is expressed as URLs or DOIs</w:t>
      </w:r>
    </w:p>
    <w:p>
      <w:pPr>
        <w:pStyle w:val="Compact"/>
        <w:numPr>
          <w:ilvl w:val="0"/>
          <w:numId w:val="1103"/>
        </w:numPr>
      </w:pPr>
      <w:r>
        <w:t xml:space="preserve">the sources of auxiliary data used to make corrections</w:t>
      </w:r>
    </w:p>
    <w:p>
      <w:pPr>
        <w:pStyle w:val="FirstParagraph"/>
      </w:pPr>
      <w:r>
        <w:t xml:space="preserve">Require resolution of DEM better than the output product resolution when applying terrain corrections.</w:t>
      </w:r>
    </w:p>
    <w:p>
      <w:pPr>
        <w:pStyle w:val="Textkrper"/>
      </w:pPr>
      <w:r>
        <w:t xml:space="preserve">Notes:</w:t>
      </w:r>
    </w:p>
    <w:p>
      <w:pPr>
        <w:pStyle w:val="Compact"/>
        <w:numPr>
          <w:ilvl w:val="0"/>
          <w:numId w:val="1104"/>
        </w:numPr>
      </w:pPr>
      <w:r>
        <w:t xml:space="preserve">Examples of technical documentation include an Algorithm, Theoretical Basis Document, product user guide, etc.</w:t>
      </w:r>
    </w:p>
    <w:bookmarkEnd w:id="235"/>
    <w:bookmarkStart w:id="236" w:name="assessment-49"/>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Goal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6"/>
    <w:bookmarkEnd w:id="237"/>
    <w:bookmarkStart w:id="24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38" w:name="threshold-requirements-50"/>
    <w:p>
      <w:pPr>
        <w:pStyle w:val="berschrift5"/>
      </w:pPr>
      <w:r>
        <w:t xml:space="preserve">Threshold requirements:</w:t>
      </w:r>
    </w:p>
    <w:p>
      <w:pPr>
        <w:pStyle w:val="FirstParagraph"/>
      </w:pPr>
      <w:r>
        <w:rPr>
          <w:i/>
          <w:iCs/>
        </w:rPr>
        <w:t xml:space="preserve">None</w:t>
      </w:r>
    </w:p>
    <w:bookmarkEnd w:id="238"/>
    <w:bookmarkStart w:id="239" w:name="goal-requirements-50"/>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39"/>
    <w:bookmarkStart w:id="240" w:name="assessment-50"/>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bookmarkEnd w:id="240"/>
    <w:bookmarkEnd w:id="241"/>
    <w:bookmarkEnd w:id="242"/>
    <w:bookmarkStart w:id="2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46"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43" w:name="threshold-requirements-51"/>
    <w:p>
      <w:pPr>
        <w:pStyle w:val="berschrift5"/>
      </w:pPr>
      <w:r>
        <w:t xml:space="preserve">Threshold requirements:</w:t>
      </w:r>
    </w:p>
    <w:p>
      <w:pPr>
        <w:pStyle w:val="FirstParagraph"/>
      </w:pPr>
      <w:r>
        <w:rPr>
          <w:i/>
          <w:iCs/>
        </w:rPr>
        <w:t xml:space="preserve">None</w:t>
      </w:r>
    </w:p>
    <w:bookmarkEnd w:id="243"/>
    <w:bookmarkStart w:id="244" w:name="goal-requirements-51"/>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7"/>
        </w:numPr>
      </w:pPr>
      <w:r>
        <w:t xml:space="preserve">Examples of technical documentation can include e.g., an Algorithm Theoretical Basis Document (ATBD) or a product user guide.</w:t>
      </w:r>
    </w:p>
    <w:bookmarkEnd w:id="244"/>
    <w:bookmarkStart w:id="245" w:name="assessment-51"/>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5"/>
    <w:bookmarkEnd w:id="246"/>
    <w:bookmarkStart w:id="250"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47" w:name="threshold-requirements-52"/>
    <w:p>
      <w:pPr>
        <w:pStyle w:val="berschrift5"/>
      </w:pPr>
      <w:r>
        <w:t xml:space="preserve">Threshold requirements:</w:t>
      </w:r>
    </w:p>
    <w:p>
      <w:pPr>
        <w:pStyle w:val="Compact"/>
        <w:numPr>
          <w:ilvl w:val="0"/>
          <w:numId w:val="1109"/>
        </w:numPr>
      </w:pPr>
      <w:r>
        <w:t xml:space="preserve">During ortho-rectification, the data provider shall use the same DEM that was used for the radiometric terrain flattening to ensure consistency of the data stack.</w:t>
      </w:r>
    </w:p>
    <w:p>
      <w:pPr>
        <w:pStyle w:val="Compact"/>
        <w:numPr>
          <w:ilvl w:val="0"/>
          <w:numId w:val="1109"/>
        </w:numPr>
      </w:pPr>
      <w:r>
        <w:t xml:space="preserve">Provide reference to Digital Elevation Model used for geometric terrain correction.</w:t>
      </w:r>
    </w:p>
    <w:p>
      <w:pPr>
        <w:pStyle w:val="Compact"/>
        <w:numPr>
          <w:ilvl w:val="0"/>
          <w:numId w:val="1109"/>
        </w:numPr>
      </w:pPr>
      <w:r>
        <w:t xml:space="preserve">Provide reference to Earth Gravitational Model (EGM) used for geometric correction.</w:t>
      </w:r>
    </w:p>
    <w:bookmarkEnd w:id="247"/>
    <w:bookmarkStart w:id="248" w:name="goal-requirements-52"/>
    <w:p>
      <w:pPr>
        <w:pStyle w:val="berschrift5"/>
      </w:pPr>
      <w:r>
        <w:t xml:space="preserve">Goal requirements:</w:t>
      </w:r>
    </w:p>
    <w:p>
      <w:pPr>
        <w:pStyle w:val="Compact"/>
        <w:numPr>
          <w:ilvl w:val="0"/>
          <w:numId w:val="1110"/>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10"/>
        </w:numPr>
      </w:pPr>
      <w:r>
        <w:t xml:space="preserve">Resampling method used for preparation of the DEM.</w:t>
      </w:r>
    </w:p>
    <w:p>
      <w:pPr>
        <w:pStyle w:val="Compact"/>
        <w:numPr>
          <w:ilvl w:val="0"/>
          <w:numId w:val="1110"/>
        </w:numPr>
      </w:pPr>
      <w:r>
        <w:t xml:space="preserve">Method used for resampling the EGM.</w:t>
      </w:r>
    </w:p>
    <w:bookmarkEnd w:id="248"/>
    <w:bookmarkStart w:id="249" w:name="assessment-52"/>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pict>
          <v:rect style="width:0;height:1.5pt" o:hralign="center" o:hrstd="t" o:hr="t"/>
        </w:pict>
      </w:r>
    </w:p>
    <w:bookmarkEnd w:id="249"/>
    <w:bookmarkEnd w:id="250"/>
    <w:bookmarkStart w:id="254"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51" w:name="threshold-requirements-53"/>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12"/>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12"/>
        </w:numPr>
      </w:pPr>
      <w:r>
        <w:t xml:space="preserve">The ALE is not typically assessed for every processed image, but through an ALE assessment by the data processing team characterizing all or (usually a subset) of the generated products.</w:t>
      </w:r>
    </w:p>
    <w:bookmarkEnd w:id="251"/>
    <w:bookmarkStart w:id="252" w:name="goal-requirements-53"/>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52"/>
    <w:bookmarkStart w:id="253" w:name="assessment-53"/>
    <w:p>
      <w:pPr>
        <w:pStyle w:val="berschrift5"/>
      </w:pPr>
      <w:r>
        <w:t xml:space="preserve">Assessment:</w:t>
      </w:r>
    </w:p>
    <w:p>
      <w:pPr>
        <w:pStyle w:val="Compact"/>
        <w:numPr>
          <w:ilvl w:val="0"/>
          <w:numId w:val="1113"/>
        </w:numPr>
      </w:pPr>
      <w:r>
        <w:t xml:space="preserve">Threshold Self-Assessment:</w:t>
      </w:r>
    </w:p>
    <w:p>
      <w:pPr>
        <w:pStyle w:val="Compact"/>
        <w:numPr>
          <w:ilvl w:val="0"/>
          <w:numId w:val="1113"/>
        </w:numPr>
      </w:pPr>
      <w:r>
        <w:t xml:space="preserve">Goal Self-Assessment:</w:t>
      </w:r>
    </w:p>
    <w:p>
      <w:pPr>
        <w:pStyle w:val="Compact"/>
        <w:numPr>
          <w:ilvl w:val="0"/>
          <w:numId w:val="1113"/>
        </w:numPr>
      </w:pPr>
      <w:r>
        <w:t xml:space="preserve">Self-Assessment Explanation/ Justification:</w:t>
      </w:r>
    </w:p>
    <w:p>
      <w:pPr>
        <w:pStyle w:val="Compact"/>
        <w:numPr>
          <w:ilvl w:val="0"/>
          <w:numId w:val="1113"/>
        </w:numPr>
      </w:pPr>
      <w:r>
        <w:t xml:space="preserve">Recommended Requirement Modification:</w:t>
      </w:r>
    </w:p>
    <w:p>
      <w:r>
        <w:pict>
          <v:rect style="width:0;height:1.5pt" o:hralign="center" o:hrstd="t" o:hr="t"/>
        </w:pict>
      </w:r>
    </w:p>
    <w:bookmarkEnd w:id="253"/>
    <w:bookmarkEnd w:id="254"/>
    <w:bookmarkStart w:id="258"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55" w:name="threshold-requirements-54"/>
    <w:p>
      <w:pPr>
        <w:pStyle w:val="berschrift5"/>
      </w:pPr>
      <w:r>
        <w:t xml:space="preserve">Threshold requirements:</w:t>
      </w:r>
    </w:p>
    <w:p>
      <w:pPr>
        <w:pStyle w:val="FirstParagraph"/>
      </w:pPr>
      <w:r>
        <w:rPr>
          <w:i/>
          <w:iCs/>
        </w:rPr>
        <w:t xml:space="preserve">None</w:t>
      </w:r>
    </w:p>
    <w:bookmarkEnd w:id="255"/>
    <w:bookmarkStart w:id="256" w:name="goal-requirements-54"/>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56"/>
    <w:bookmarkStart w:id="257" w:name="assessment-54"/>
    <w:p>
      <w:pPr>
        <w:pStyle w:val="berschrift5"/>
      </w:pPr>
      <w:r>
        <w:t xml:space="preserve">Assessment:</w:t>
      </w:r>
    </w:p>
    <w:p>
      <w:pPr>
        <w:pStyle w:val="Compact"/>
        <w:numPr>
          <w:ilvl w:val="0"/>
          <w:numId w:val="1114"/>
        </w:numPr>
      </w:pPr>
      <w:r>
        <w:t xml:space="preserve">Threshold Self-Assessment:</w:t>
      </w:r>
    </w:p>
    <w:p>
      <w:pPr>
        <w:pStyle w:val="Compact"/>
        <w:numPr>
          <w:ilvl w:val="0"/>
          <w:numId w:val="1114"/>
        </w:numPr>
      </w:pPr>
      <w:r>
        <w:t xml:space="preserve">Goal Self-Assessment:</w:t>
      </w:r>
    </w:p>
    <w:p>
      <w:pPr>
        <w:pStyle w:val="Compact"/>
        <w:numPr>
          <w:ilvl w:val="0"/>
          <w:numId w:val="1114"/>
        </w:numPr>
      </w:pPr>
      <w:r>
        <w:t xml:space="preserve">Self-Assessment Explanation/ Justification:</w:t>
      </w:r>
    </w:p>
    <w:p>
      <w:pPr>
        <w:pStyle w:val="Compact"/>
        <w:numPr>
          <w:ilvl w:val="0"/>
          <w:numId w:val="1114"/>
        </w:numPr>
      </w:pPr>
      <w:r>
        <w:t xml:space="preserve">Recommended Requirement Modification:</w:t>
      </w:r>
    </w:p>
    <w:p>
      <w:r>
        <w:pict>
          <v:rect style="width:0;height:1.5pt" o:hralign="center" o:hrstd="t" o:hr="t"/>
        </w:pict>
      </w:r>
    </w:p>
    <w:bookmarkEnd w:id="257"/>
    <w:bookmarkEnd w:id="258"/>
    <w:bookmarkStart w:id="262"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59" w:name="threshold-requirements-55"/>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5"/>
        </w:numPr>
      </w:pPr>
      <w:r>
        <w:t xml:space="preserve">If a product hierarchy of resolutions exists (or is planned), the multiple resolutions should nest within each other (e.g., 12.5m, 25m, 50m, 100m, etc.), and not be disjoint.</w:t>
      </w:r>
    </w:p>
    <w:bookmarkEnd w:id="259"/>
    <w:bookmarkStart w:id="260" w:name="goal-requirements-55"/>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60"/>
    <w:bookmarkStart w:id="261" w:name="assessment-55"/>
    <w:p>
      <w:pPr>
        <w:pStyle w:val="berschrift5"/>
      </w:pPr>
      <w:r>
        <w:t xml:space="preserve">Assessment:</w:t>
      </w:r>
    </w:p>
    <w:p>
      <w:pPr>
        <w:pStyle w:val="Compact"/>
        <w:numPr>
          <w:ilvl w:val="0"/>
          <w:numId w:val="1116"/>
        </w:numPr>
      </w:pPr>
      <w:r>
        <w:t xml:space="preserve">Threshold Self-Assessment:</w:t>
      </w:r>
    </w:p>
    <w:p>
      <w:pPr>
        <w:pStyle w:val="Compact"/>
        <w:numPr>
          <w:ilvl w:val="0"/>
          <w:numId w:val="1116"/>
        </w:numPr>
      </w:pPr>
      <w:r>
        <w:t xml:space="preserve">Goal Self-Assessment:</w:t>
      </w:r>
    </w:p>
    <w:p>
      <w:pPr>
        <w:pStyle w:val="Compact"/>
        <w:numPr>
          <w:ilvl w:val="0"/>
          <w:numId w:val="1116"/>
        </w:numPr>
      </w:pPr>
      <w:r>
        <w:t xml:space="preserve">Self-Assessment Explanation/ Justification:</w:t>
      </w:r>
    </w:p>
    <w:p>
      <w:pPr>
        <w:pStyle w:val="Compact"/>
        <w:numPr>
          <w:ilvl w:val="0"/>
          <w:numId w:val="1116"/>
        </w:numPr>
      </w:pPr>
      <w:r>
        <w:t xml:space="preserve">Recommended Requirement Modification:</w:t>
      </w:r>
    </w:p>
    <w:p>
      <w:r>
        <w:br w:type="page"/>
      </w:r>
    </w:p>
    <w:bookmarkEnd w:id="261"/>
    <w:bookmarkEnd w:id="262"/>
    <w:bookmarkEnd w:id="263"/>
    <w:bookmarkEnd w:id="264"/>
    <w:bookmarkStart w:id="271" w:name="summary-self-assessment-table"/>
    <w:p>
      <w:pPr>
        <w:pStyle w:val="berschrift2"/>
      </w:pPr>
      <w:r>
        <w:t xml:space="preserve">Summary Self-Assessment Table</w:t>
      </w:r>
    </w:p>
    <w:bookmarkStart w:id="265"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65"/>
    <w:bookmarkStart w:id="266"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66"/>
    <w:bookmarkStart w:id="267"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prd.metadata-radar-unit-look-vector</w:t>
            </w:r>
          </w:p>
        </w:tc>
        <w:tc>
          <w:tcPr/>
          <w:p>
            <w:pPr>
              <w:pStyle w:val="Compact"/>
            </w:pPr>
            <w:r>
              <w:t xml:space="preserve">Radar Unit Look Vector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prd.metadata-slant-range</w:t>
            </w:r>
          </w:p>
        </w:tc>
        <w:tc>
          <w:tcPr/>
          <w:p>
            <w:pPr>
              <w:pStyle w:val="Compact"/>
            </w:pPr>
            <w:r>
              <w:t xml:space="preserve">Slant Range Sensor to Surface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prd.metadata-orbit-reference-gslc</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67"/>
    <w:bookmarkStart w:id="268"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pxl.per-pixel-radar-unit-look-vector-grid</w:t>
            </w:r>
          </w:p>
        </w:tc>
        <w:tc>
          <w:tcPr/>
          <w:p>
            <w:pPr>
              <w:pStyle w:val="Compact"/>
            </w:pPr>
            <w:r>
              <w:t xml:space="preserve">Radar Unit Look Vector Grid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pxl.per-pixel-slant-range</w:t>
            </w:r>
          </w:p>
        </w:tc>
        <w:tc>
          <w:tcPr/>
          <w:p>
            <w:pPr>
              <w:pStyle w:val="Compact"/>
            </w:pPr>
            <w:r>
              <w:t xml:space="preserve">Slant Range Sensor to Surface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pxl.per-pixel-insar-phase-uncertainty</w:t>
            </w:r>
          </w:p>
        </w:tc>
        <w:tc>
          <w:tcPr/>
          <w:p>
            <w:pPr>
              <w:pStyle w:val="Compact"/>
            </w:pPr>
            <w:r>
              <w:t xml:space="preserve">InSAR Phase Uncertainty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pxl.per-pixel-atmospheric-phase-correction</w:t>
            </w:r>
          </w:p>
        </w:tc>
        <w:tc>
          <w:tcPr/>
          <w:p>
            <w:pPr>
              <w:pStyle w:val="Compact"/>
            </w:pPr>
            <w:r>
              <w:t xml:space="preserve">Atmospheric Phase Correction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pxl.per-pixel-ionospheric-phase-correction</w:t>
            </w:r>
          </w:p>
        </w:tc>
        <w:tc>
          <w:tcPr/>
          <w:p>
            <w:pPr>
              <w:pStyle w:val="Compact"/>
            </w:pPr>
            <w:r>
              <w:t xml:space="preserve">Ionospheric Phase Correction Image</w:t>
            </w:r>
          </w:p>
        </w:tc>
        <w:tc>
          <w:tcPr/>
          <w:p>
            <w:pPr>
              <w:pStyle w:val="Compact"/>
              <w:jc w:val="center"/>
            </w:pPr>
            <w:r>
              <w:rPr>
                <w:i/>
                <w:iCs/>
              </w:rPr>
              <w:t xml:space="preserve">not required</w:t>
            </w:r>
          </w:p>
        </w:tc>
        <w:tc>
          <w:tcPr/>
          <w:p>
            <w:pPr>
              <w:pStyle w:val="Compact"/>
            </w:pPr>
          </w:p>
        </w:tc>
      </w:tr>
    </w:tbl>
    <w:bookmarkEnd w:id="268"/>
    <w:bookmarkStart w:id="269"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rcm.measurements-backscatter-gslc</w:t>
            </w:r>
          </w:p>
        </w:tc>
        <w:tc>
          <w:tcPr/>
          <w:p>
            <w:pPr>
              <w:pStyle w:val="Compact"/>
            </w:pPr>
            <w:r>
              <w:t xml:space="preserve">Backscatter Measurements [GSLC]</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rcm.corrections-radiometric-terrain-correction-gslc</w:t>
            </w:r>
          </w:p>
        </w:tc>
        <w:tc>
          <w:tcPr/>
          <w:p>
            <w:pPr>
              <w:pStyle w:val="Compact"/>
            </w:pPr>
            <w:r>
              <w:t xml:space="preserve">Radiometric Terrain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bl>
    <w:bookmarkEnd w:id="269"/>
    <w:bookmarkStart w:id="270"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70"/>
    <w:bookmarkEnd w:id="271"/>
    <w:bookmarkStart w:id="286" w:name="references"/>
    <w:p>
      <w:pPr>
        <w:pStyle w:val="berschrift2"/>
      </w:pPr>
      <w:r>
        <w:t xml:space="preserve">References</w:t>
      </w:r>
    </w:p>
    <w:bookmarkStart w:id="285" w:name="refs"/>
    <w:bookmarkStart w:id="272"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72"/>
    <w:bookmarkStart w:id="27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73">
        <w:r>
          <w:rPr>
            <w:rStyle w:val="Hyperlink"/>
          </w:rPr>
          <w:t xml:space="preserve">https://doi.org/10.1109/TGRS.2008.2002881</w:t>
        </w:r>
      </w:hyperlink>
      <w:r>
        <w:t xml:space="preserve">.</w:t>
      </w:r>
    </w:p>
    <w:bookmarkEnd w:id="274"/>
    <w:bookmarkStart w:id="276"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5">
        <w:r>
          <w:rPr>
            <w:rStyle w:val="Hyperlink"/>
          </w:rPr>
          <w:t xml:space="preserve">https://doi.org/10.1109/TGRS.2022.3147472</w:t>
        </w:r>
      </w:hyperlink>
      <w:r>
        <w:t xml:space="preserve">.</w:t>
      </w:r>
    </w:p>
    <w:bookmarkEnd w:id="276"/>
    <w:bookmarkStart w:id="278"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7">
        <w:r>
          <w:rPr>
            <w:rStyle w:val="Hyperlink"/>
          </w:rPr>
          <w:t xml:space="preserve">https://doi.org/10.1109/TGRS.2011.2120616</w:t>
        </w:r>
      </w:hyperlink>
      <w:r>
        <w:t xml:space="preserve">.</w:t>
      </w:r>
    </w:p>
    <w:bookmarkEnd w:id="278"/>
    <w:bookmarkStart w:id="280"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9">
        <w:r>
          <w:rPr>
            <w:rStyle w:val="Hyperlink"/>
          </w:rPr>
          <w:t xml:space="preserve">https://doi.org/10.1109/LGRS.2017.2753580</w:t>
        </w:r>
      </w:hyperlink>
      <w:r>
        <w:t xml:space="preserve">.</w:t>
      </w:r>
    </w:p>
    <w:bookmarkEnd w:id="280"/>
    <w:bookmarkStart w:id="282"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1">
        <w:r>
          <w:rPr>
            <w:rStyle w:val="Hyperlink"/>
          </w:rPr>
          <w:t xml:space="preserve">https://doi.org/10.1109/TGRS.2010.2051333</w:t>
        </w:r>
      </w:hyperlink>
      <w:r>
        <w:t xml:space="preserve">.</w:t>
      </w:r>
    </w:p>
    <w:bookmarkEnd w:id="282"/>
    <w:bookmarkStart w:id="284" w:name="ref-zheng2017"/>
    <w:p>
      <w:pPr>
        <w:pStyle w:val="Literaturverzeichnis"/>
      </w:pPr>
      <w:r>
        <w:t xml:space="preserve">Zheng, Yujie, and Howard Zebker. 2017.</w:t>
      </w:r>
      <w:r>
        <w:t xml:space="preserve"> </w:t>
      </w:r>
      <w:r>
        <w:t xml:space="preserve">“Phase Correction of Single-Look Complex Radar Images for User-Friendly Efficient Interferogram Formation.”</w:t>
      </w:r>
      <w:r>
        <w:t xml:space="preserve"> </w:t>
      </w:r>
      <w:r>
        <w:rPr>
          <w:i/>
          <w:iCs/>
        </w:rPr>
        <w:t xml:space="preserve">IEEE Journal of Selected Topics in Applied Earth Observations and Remote Sensing</w:t>
      </w:r>
      <w:r>
        <w:t xml:space="preserve"> </w:t>
      </w:r>
      <w:r>
        <w:t xml:space="preserve">PP (May): 1–8.</w:t>
      </w:r>
      <w:r>
        <w:t xml:space="preserve"> </w:t>
      </w:r>
      <w:hyperlink r:id="rId283">
        <w:r>
          <w:rPr>
            <w:rStyle w:val="Hyperlink"/>
          </w:rPr>
          <w:t xml:space="preserve">https://doi.org/10.1109/JSTARS.2017.2697861</w:t>
        </w:r>
      </w:hyperlink>
      <w:r>
        <w:t xml:space="preserve">.</w:t>
      </w:r>
    </w:p>
    <w:bookmarkEnd w:id="284"/>
    <w:bookmarkEnd w:id="285"/>
    <w:p>
      <w:r>
        <w:br w:type="page"/>
      </w:r>
    </w:p>
    <w:bookmarkEnd w:id="286"/>
    <w:bookmarkStart w:id="333" w:name="annexes"/>
    <w:p>
      <w:pPr>
        <w:pStyle w:val="berschrift2"/>
      </w:pPr>
      <w:r>
        <w:t xml:space="preserve">Annexes</w:t>
      </w:r>
    </w:p>
    <w:bookmarkStart w:id="288"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7"/>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7"/>
        </w:numPr>
      </w:pPr>
      <w:r>
        <w:t xml:space="preserve">Apply instrument calibration to produce Beta-Nought values with high fidelity.</w:t>
      </w:r>
    </w:p>
    <w:p>
      <w:pPr>
        <w:pStyle w:val="Compact"/>
        <w:numPr>
          <w:ilvl w:val="0"/>
          <w:numId w:val="1117"/>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7"/>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7"/>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7"/>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7"/>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7"/>
        </w:numPr>
      </w:pPr>
      <w:r>
        <w:t xml:space="preserve">Generate CEOS format metadata to accompany product layers.</w:t>
      </w:r>
    </w:p>
    <w:p>
      <w:pPr>
        <w:pStyle w:val="Compact"/>
        <w:numPr>
          <w:ilvl w:val="0"/>
          <w:numId w:val="1117"/>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7"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7"/>
    <w:bookmarkEnd w:id="288"/>
    <w:bookmarkStart w:id="300"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9"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9"/>
    </w:p>
    <w:p>
      <w:pPr>
        <w:pStyle w:val="FirstParagraph"/>
      </w:pPr>
      <w:r>
        <w:t xml:space="preserve">Where</w:t>
      </w:r>
    </w:p>
    <w:p>
      <w:pPr>
        <w:pStyle w:val="Textkrper"/>
      </w:pPr>
      <w:bookmarkStart w:id="290"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90"/>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8"/>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8"/>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1"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1"/>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2"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2"/>
    </w:p>
    <w:p>
      <w:pPr>
        <w:pStyle w:val="FirstParagraph"/>
      </w:pPr>
      <w:bookmarkStart w:id="293"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3"/>
    </w:p>
    <w:p>
      <w:pPr>
        <w:pStyle w:val="FirstParagraph"/>
      </w:pPr>
      <w:r>
        <w:t xml:space="preserve">The differential phase is</w:t>
      </w:r>
    </w:p>
    <w:p>
      <w:pPr>
        <w:pStyle w:val="Textkrper"/>
      </w:pPr>
      <w:bookmarkStart w:id="294"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4"/>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5"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5"/>
    </w:p>
    <w:p>
      <w:pPr>
        <w:pStyle w:val="FirstParagraph"/>
      </w:pPr>
      <w:bookmarkStart w:id="296"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6"/>
    </w:p>
    <w:p>
      <w:pPr>
        <w:pStyle w:val="FirstParagraph"/>
      </w:pPr>
      <w:bookmarkStart w:id="297"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7"/>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8"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8"/>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9"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9"/>
    </w:p>
    <w:bookmarkEnd w:id="300"/>
    <w:bookmarkStart w:id="332" w:name="sec:annex-sar-gslc-example"/>
    <w:p>
      <w:pPr>
        <w:pStyle w:val="berschrift3"/>
      </w:pPr>
      <w:r>
        <w:t xml:space="preserve">Geocoded Single-Look Complex example</w:t>
      </w:r>
    </w:p>
    <w:p>
      <w:pPr>
        <w:pStyle w:val="FirstParagraph"/>
      </w:pPr>
      <w:r>
        <w:t xml:space="preserve">In contrast to basic NRB and</w:t>
      </w:r>
      <w:r>
        <w:t xml:space="preserve"> </w:t>
      </w:r>
      <w:r>
        <w:rPr>
          <w:b/>
          <w:bCs/>
        </w:rPr>
        <w:t xml:space="preserve">POL products</w:t>
      </w:r>
      <w:r>
        <w:t xml:space="preserve">, CEOS-ARD Geocoded SLC GSLC products are kept close to the native resolution in complex data format for which local topographic InSAR phases, relative to a reference orbit</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have been removed. Having a volume of GSLC products acquired over repeat cycles, already radiometric and phase terrain corrected and geocoded (Figures </w:t>
      </w:r>
      <w:hyperlink w:anchor="fig:sar-gslc-example-fig1a">
        <w:r>
          <w:rPr>
            <w:rStyle w:val="Hyperlink"/>
          </w:rPr>
          <w:t xml:space="preserve">1</w:t>
        </w:r>
      </w:hyperlink>
      <w:r>
        <w:t xml:space="preserve">,</w:t>
      </w:r>
      <w:r>
        <w:t xml:space="preserve"> </w:t>
      </w:r>
      <w:hyperlink w:anchor="fig:sar-gslc-example-fig1b">
        <w:r>
          <w:rPr>
            <w:rStyle w:val="Hyperlink"/>
          </w:rPr>
          <w:t xml:space="preserve">2</w:t>
        </w:r>
      </w:hyperlink>
      <w:r>
        <w:t xml:space="preserve">), allows user-friendly production of a first iteration of the InSAR coherence (Eq. </w:t>
      </w:r>
      <w:hyperlink w:anchor="eq:sar-gslc-example-eq1">
        <w:r>
          <w:rPr>
            <w:rStyle w:val="Hyperlink"/>
          </w:rPr>
          <w:t xml:space="preserve">12</w:t>
        </w:r>
      </w:hyperlink>
      <w:r>
        <w:t xml:space="preserve">, Figure </w:t>
      </w:r>
      <w:hyperlink w:anchor="fig:sar-gslc-example-fig1c">
        <w:r>
          <w:rPr>
            <w:rStyle w:val="Hyperlink"/>
          </w:rPr>
          <w:t xml:space="preserve">3</w:t>
        </w:r>
      </w:hyperlink>
      <w:r>
        <w:t xml:space="preserve">) and differential phases (Eq. </w:t>
      </w:r>
      <w:hyperlink w:anchor="eq:sar-gslc-example-eq2">
        <w:r>
          <w:rPr>
            <w:rStyle w:val="Hyperlink"/>
          </w:rPr>
          <w:t xml:space="preserve">13</w:t>
        </w:r>
      </w:hyperlink>
      <w:r>
        <w:t xml:space="preserve">, Figure </w:t>
      </w:r>
      <w:hyperlink w:anchor="fig:sar-gslc-example-fig1d">
        <w:r>
          <w:rPr>
            <w:rStyle w:val="Hyperlink"/>
          </w:rPr>
          <w:t xml:space="preserve">4</w:t>
        </w:r>
      </w:hyperlink>
      <w:r>
        <w:t xml:space="preserve">) in between GSLC pairs, simply by applying local averaging window over the product of a GSLC product (GSLC1) with the complex conjugate of a second GSLC (GSLC2) divided by their local averaged intensities. These intermediate files could be used for coherent change detection analysis and surface displacement monitoring.</w:t>
      </w:r>
    </w:p>
    <w:p>
      <w:pPr>
        <w:pStyle w:val="Textkrper"/>
      </w:pPr>
      <w:bookmarkStart w:id="301" w:name="eq:sar-gslc-example-eq1"/>
      <m:oMathPara>
        <m:oMathParaPr>
          <m:jc m:val="center"/>
        </m:oMathParaPr>
        <m:oMath>
          <m:r>
            <m:rPr>
              <m:nor/>
              <m:sty m:val="p"/>
            </m:rPr>
            <m:t>Complex coherence:</m:t>
          </m:r>
          <m:r>
            <m:t> </m:t>
          </m:r>
          <m:r>
            <m:t>ρ</m:t>
          </m:r>
          <m:r>
            <m:rPr>
              <m:sty m:val="p"/>
            </m:rPr>
            <m:t>=</m:t>
          </m:r>
          <m:f>
            <m:fPr>
              <m:type m:val="bar"/>
            </m:fPr>
            <m:num>
              <m:r>
                <m:rPr>
                  <m:sty m:val="p"/>
                </m:rPr>
                <m:t>∑</m:t>
              </m:r>
              <m:d>
                <m:dPr>
                  <m:begChr m:val="["/>
                  <m:sepChr m:val=""/>
                  <m:endChr m:val="]"/>
                  <m:grow/>
                </m:dPr>
                <m:e>
                  <m:r>
                    <m:t>G</m:t>
                  </m:r>
                  <m:r>
                    <m:t>S</m:t>
                  </m:r>
                  <m:r>
                    <m:t>L</m:t>
                  </m:r>
                  <m:sSub>
                    <m:e>
                      <m:r>
                        <m:t>C</m:t>
                      </m:r>
                    </m:e>
                    <m:sub>
                      <m:r>
                        <m:t>1</m:t>
                      </m:r>
                    </m:sub>
                  </m:sSub>
                  <m:r>
                    <m:rPr>
                      <m:sty m:val="p"/>
                    </m:rPr>
                    <m:t>*</m:t>
                  </m:r>
                  <m:r>
                    <m:t>c</m:t>
                  </m:r>
                  <m:r>
                    <m:t>o</m:t>
                  </m:r>
                  <m:r>
                    <m:t>n</m:t>
                  </m:r>
                  <m:r>
                    <m:t>j</m:t>
                  </m:r>
                  <m:d>
                    <m:dPr>
                      <m:begChr m:val="("/>
                      <m:sepChr m:val=""/>
                      <m:endChr m:val=")"/>
                      <m:grow/>
                    </m:dPr>
                    <m:e>
                      <m:r>
                        <m:t>G</m:t>
                      </m:r>
                      <m:r>
                        <m:t>S</m:t>
                      </m:r>
                      <m:r>
                        <m:t>L</m:t>
                      </m:r>
                      <m:sSub>
                        <m:e>
                          <m:r>
                            <m:t>C</m:t>
                          </m:r>
                        </m:e>
                        <m:sub>
                          <m:r>
                            <m:t>2</m:t>
                          </m:r>
                        </m:sub>
                      </m:sSub>
                    </m:e>
                  </m:d>
                </m:e>
              </m:d>
            </m:num>
            <m:den>
              <m:rad>
                <m:radPr>
                  <m:degHide m:val="on"/>
                </m:radPr>
                <m:deg/>
                <m:e>
                  <m:r>
                    <m:rPr>
                      <m:sty m:val="p"/>
                    </m:rPr>
                    <m:t>∑</m:t>
                  </m:r>
                  <m:sSup>
                    <m:e>
                      <m:d>
                        <m:dPr>
                          <m:begChr m:val="|"/>
                          <m:sepChr m:val=""/>
                          <m:endChr m:val="|"/>
                          <m:grow/>
                        </m:dPr>
                        <m:e>
                          <m:r>
                            <m:t>G</m:t>
                          </m:r>
                          <m:r>
                            <m:t>S</m:t>
                          </m:r>
                          <m:r>
                            <m:t>L</m:t>
                          </m:r>
                          <m:sSub>
                            <m:e>
                              <m:r>
                                <m:t>C</m:t>
                              </m:r>
                            </m:e>
                            <m:sub>
                              <m:r>
                                <m:t>1</m:t>
                              </m:r>
                            </m:sub>
                          </m:sSub>
                        </m:e>
                      </m:d>
                    </m:e>
                    <m:sup>
                      <m:r>
                        <m:t>2</m:t>
                      </m:r>
                    </m:sup>
                  </m:sSup>
                  <m:r>
                    <m:rPr>
                      <m:sty m:val="p"/>
                    </m:rPr>
                    <m:t>*</m:t>
                  </m:r>
                  <m:r>
                    <m:rPr>
                      <m:sty m:val="p"/>
                    </m:rPr>
                    <m:t>∑</m:t>
                  </m:r>
                  <m:sSup>
                    <m:e>
                      <m:d>
                        <m:dPr>
                          <m:begChr m:val="|"/>
                          <m:sepChr m:val=""/>
                          <m:endChr m:val="|"/>
                          <m:grow/>
                        </m:dPr>
                        <m:e>
                          <m:r>
                            <m:t>G</m:t>
                          </m:r>
                          <m:r>
                            <m:t>S</m:t>
                          </m:r>
                          <m:r>
                            <m:t>L</m:t>
                          </m:r>
                          <m:sSub>
                            <m:e>
                              <m:r>
                                <m:t>C</m:t>
                              </m:r>
                            </m:e>
                            <m:sub>
                              <m:r>
                                <m:t>2</m:t>
                              </m:r>
                            </m:sub>
                          </m:sSub>
                        </m:e>
                      </m:d>
                    </m:e>
                    <m:sup>
                      <m:r>
                        <m:t>2</m:t>
                      </m:r>
                    </m:sup>
                  </m:sSup>
                </m:e>
              </m:rad>
            </m:den>
          </m:f>
          <m:r>
            <m:t>  </m:t>
          </m:r>
          <m:d>
            <m:dPr>
              <m:begChr m:val="("/>
              <m:sepChr m:val=""/>
              <m:endChr m:val=")"/>
              <m:grow/>
            </m:dPr>
            <m:e>
              <m:r>
                <m:t>12</m:t>
              </m:r>
            </m:e>
          </m:d>
        </m:oMath>
      </m:oMathPara>
      <w:bookmarkEnd w:id="301"/>
    </w:p>
    <w:p>
      <w:pPr>
        <w:pStyle w:val="FirstParagraph"/>
      </w:pPr>
      <w:r>
        <w:t xml:space="preserve">The InSAR differential phase (Eq. </w:t>
      </w:r>
      <w:hyperlink w:anchor="eq:sar-gslc-example-eq2">
        <w:r>
          <w:rPr>
            <w:rStyle w:val="Hyperlink"/>
          </w:rPr>
          <w:t xml:space="preserve">13</w:t>
        </w:r>
      </w:hyperlink>
      <w:r>
        <w:t xml:space="preserve">) is the argument of the complex coherence estimated with Eq. </w:t>
      </w:r>
      <w:hyperlink w:anchor="eq:sar-gslc-example-eq1">
        <w:r>
          <w:rPr>
            <w:rStyle w:val="Hyperlink"/>
          </w:rPr>
          <w:t xml:space="preserve">12</w:t>
        </w:r>
      </w:hyperlink>
      <w:r>
        <w:t xml:space="preserve">.</w:t>
      </w:r>
    </w:p>
    <w:p>
      <w:pPr>
        <w:pStyle w:val="Textkrper"/>
      </w:pPr>
      <w:bookmarkStart w:id="302" w:name="eq:sar-gslc-example-eq2"/>
      <m:oMathPara>
        <m:oMathParaPr>
          <m:jc m:val="center"/>
        </m:oMathParaPr>
        <m:oMath>
          <m:r>
            <m:rPr>
              <m:nor/>
              <m:sty m:val="p"/>
            </m:rPr>
            <m:t>InSAR differential phase:</m:t>
          </m:r>
          <m:r>
            <m:t> </m:t>
          </m:r>
          <m:r>
            <m:t>φ</m:t>
          </m:r>
          <m:r>
            <m:rPr>
              <m:sty m:val="p"/>
            </m:rPr>
            <m:t>=</m:t>
          </m:r>
          <m:r>
            <m:rPr>
              <m:sty m:val="p"/>
            </m:rPr>
            <m:t>arg</m:t>
          </m:r>
          <m:d>
            <m:dPr>
              <m:begChr m:val="("/>
              <m:sepChr m:val=""/>
              <m:endChr m:val=")"/>
              <m:grow/>
            </m:dPr>
            <m:e>
              <m:r>
                <m:t>ρ</m:t>
              </m:r>
            </m:e>
          </m:d>
          <m:r>
            <m:t>  </m:t>
          </m:r>
          <m:d>
            <m:dPr>
              <m:begChr m:val="("/>
              <m:sepChr m:val=""/>
              <m:endChr m:val=")"/>
              <m:grow/>
            </m:dPr>
            <m:e>
              <m:r>
                <m:t>13</m:t>
              </m:r>
            </m:e>
          </m:d>
        </m:oMath>
      </m:oMathPara>
      <w:bookmarkEnd w:id="302"/>
    </w:p>
    <w:p>
      <w:pPr>
        <w:pStyle w:val="FirstParagraph"/>
      </w:pPr>
      <w:r>
        <w:t xml:space="preserve">Some advanced NRB or POL products could include per-pixel</w:t>
      </w:r>
      <w:r>
        <w:t xml:space="preserve"> </w:t>
      </w:r>
      <w:r>
        <w:t xml:space="preserve">“Flattened Phase”</w:t>
      </w:r>
      <w:r>
        <w:t xml:space="preserve"> </w:t>
      </w:r>
      <w:r>
        <w:t xml:space="preserve">data (Section </w:t>
      </w:r>
      <w:r>
        <w:t xml:space="preserve">“</w:t>
      </w:r>
      <w:r>
        <w:rPr>
          <w:b/>
          <w:bCs/>
        </w:rPr>
        <w:t xml:space="preserve">¿sec:rcm.measurements-flattened-phase?</w:t>
      </w:r>
      <w:r>
        <w:t xml:space="preserve">”</w:t>
      </w:r>
      <w:r>
        <w:t xml:space="preserve">). This</w:t>
      </w:r>
      <w:r>
        <w:t xml:space="preserve"> </w:t>
      </w:r>
      <w:r>
        <w:t xml:space="preserve">“Flattened Phase”</w:t>
      </w:r>
      <w:r>
        <w:t xml:space="preserve"> </w:t>
      </w:r>
      <w:r>
        <w:t xml:space="preserve">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w:t>
      </w:r>
      <w:r>
        <w:t xml:space="preserve"> </w:t>
      </w:r>
      <w:r>
        <w:t xml:space="preserve">“Flattened Phase”</w:t>
      </w:r>
      <w:r>
        <w:t xml:space="preserve"> </w:t>
      </w:r>
      <w:r>
        <w:t xml:space="preserve">(FPh1) and (FPh2) per-pixel data, the complex InSAR coherence (Eq. </w:t>
      </w:r>
      <w:hyperlink w:anchor="eq:sar-gslc-example-eq3">
        <w:r>
          <w:rPr>
            <w:rStyle w:val="Hyperlink"/>
          </w:rPr>
          <w:t xml:space="preserve">14</w:t>
        </w:r>
      </w:hyperlink>
      <w:r>
        <w:t xml:space="preserve">) can be estimated in the similar manner as Eq. </w:t>
      </w:r>
      <w:hyperlink w:anchor="eq:sar-gslc-example-eq1">
        <w:r>
          <w:rPr>
            <w:rStyle w:val="Hyperlink"/>
          </w:rPr>
          <w:t xml:space="preserve">12</w:t>
        </w:r>
      </w:hyperlink>
      <w:r>
        <w:t xml:space="preserve"> </w:t>
      </w:r>
      <w:r>
        <w:t xml:space="preserve">for GSLC products.</w:t>
      </w:r>
    </w:p>
    <w:p>
      <w:pPr>
        <w:pStyle w:val="Textkrper"/>
      </w:pPr>
      <w:bookmarkStart w:id="303" w:name="eq:sar-gslc-example-eq3"/>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sepChr m:val=""/>
                  <m:endChr m:val="]"/>
                  <m:grow/>
                </m:dPr>
                <m:e>
                  <m:d>
                    <m:dPr>
                      <m:begChr m:val="("/>
                      <m:sepChr m:val=""/>
                      <m:end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sepChr m:val=""/>
                      <m:end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r>
            <m:t>  </m:t>
          </m:r>
          <m:d>
            <m:dPr>
              <m:begChr m:val="("/>
              <m:sepChr m:val=""/>
              <m:endChr m:val=")"/>
              <m:grow/>
            </m:dPr>
            <m:e>
              <m:r>
                <m:t>14</m:t>
              </m:r>
            </m:e>
          </m:d>
        </m:oMath>
      </m:oMathPara>
      <w:bookmarkEnd w:id="303"/>
    </w:p>
    <w:p>
      <w:pPr>
        <w:pStyle w:val="FirstParagraph"/>
      </w:pPr>
      <w:r>
        <w:t xml:space="preserve">The following figures show Sentinel-1 GSLC product examples over Death Valley National Park, California, US:</w:t>
      </w:r>
    </w:p>
    <w:bookmarkStart w:id="307" w:name="fig:sar-gslc-example-fig1a"/>
    <w:p>
      <w:pPr>
        <w:pStyle w:val="CaptionedFigure"/>
      </w:pPr>
      <w:r>
        <w:drawing>
          <wp:inline>
            <wp:extent cx="3419475" cy="1743075"/>
            <wp:effectExtent b="0" l="0" r="0" t="0"/>
            <wp:docPr descr="Figure 1: GSLC1: Intensity data of the first GSLC product (2017-05-27)" title="" id="305" name="Picture"/>
            <a:graphic>
              <a:graphicData uri="http://schemas.openxmlformats.org/drawingml/2006/picture">
                <pic:pic>
                  <pic:nvPicPr>
                    <pic:cNvPr descr="assets/sar-gslc-example/S1-GSLC1.jpeg" id="306" name="Picture"/>
                    <pic:cNvPicPr>
                      <a:picLocks noChangeArrowheads="1" noChangeAspect="1"/>
                    </pic:cNvPicPr>
                  </pic:nvPicPr>
                  <pic:blipFill>
                    <a:blip r:embed="rId304"/>
                    <a:stretch>
                      <a:fillRect/>
                    </a:stretch>
                  </pic:blipFill>
                  <pic:spPr bwMode="auto">
                    <a:xfrm>
                      <a:off x="0" y="0"/>
                      <a:ext cx="3419475" cy="1743075"/>
                    </a:xfrm>
                    <a:prstGeom prst="rect">
                      <a:avLst/>
                    </a:prstGeom>
                    <a:noFill/>
                    <a:ln w="9525">
                      <a:noFill/>
                      <a:headEnd/>
                      <a:tailEnd/>
                    </a:ln>
                  </pic:spPr>
                </pic:pic>
              </a:graphicData>
            </a:graphic>
          </wp:inline>
        </w:drawing>
      </w:r>
    </w:p>
    <w:p>
      <w:pPr>
        <w:pStyle w:val="ImageCaption"/>
      </w:pPr>
      <w:r>
        <w:t xml:space="preserve">Figure 1: GSLC1: Intensity data of the first GSLC product (2017-05-27)</w:t>
      </w:r>
    </w:p>
    <w:bookmarkEnd w:id="307"/>
    <w:bookmarkStart w:id="311" w:name="fig:sar-gslc-example-fig1b"/>
    <w:p>
      <w:pPr>
        <w:pStyle w:val="CaptionedFigure"/>
      </w:pPr>
      <w:r>
        <w:drawing>
          <wp:inline>
            <wp:extent cx="3419475" cy="1666875"/>
            <wp:effectExtent b="0" l="0" r="0" t="0"/>
            <wp:docPr descr="Figure 2: GSLC2: Intensity data of the second GSLC product (2017-06-08)" title="" id="309" name="Picture"/>
            <a:graphic>
              <a:graphicData uri="http://schemas.openxmlformats.org/drawingml/2006/picture">
                <pic:pic>
                  <pic:nvPicPr>
                    <pic:cNvPr descr="assets/sar-gslc-example/S1-GSLC2.jpeg" id="310" name="Picture"/>
                    <pic:cNvPicPr>
                      <a:picLocks noChangeArrowheads="1" noChangeAspect="1"/>
                    </pic:cNvPicPr>
                  </pic:nvPicPr>
                  <pic:blipFill>
                    <a:blip r:embed="rId308"/>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Figure 2: GSLC2: Intensity data of the second GSLC product (2017-06-08)</w:t>
      </w:r>
    </w:p>
    <w:bookmarkEnd w:id="311"/>
    <w:bookmarkStart w:id="315" w:name="fig:sar-gslc-example-fig1c"/>
    <w:p>
      <w:pPr>
        <w:pStyle w:val="CaptionedFigure"/>
      </w:pPr>
      <w:r>
        <w:drawing>
          <wp:inline>
            <wp:extent cx="3810000" cy="2540000"/>
            <wp:effectExtent b="0" l="0" r="0" t="0"/>
            <wp:docPr descr="Figure 3: InSAR coherence map generated directly from Figure 1 and Figure 2" title="" id="313" name="Picture"/>
            <a:graphic>
              <a:graphicData uri="http://schemas.openxmlformats.org/drawingml/2006/picture">
                <pic:pic>
                  <pic:nvPicPr>
                    <pic:cNvPr descr="assets/sar-gslc-example/S1-InSAR-coherence.png" id="314" name="Picture"/>
                    <pic:cNvPicPr>
                      <a:picLocks noChangeArrowheads="1" noChangeAspect="1"/>
                    </pic:cNvPicPr>
                  </pic:nvPicPr>
                  <pic:blipFill>
                    <a:blip r:embed="rId3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InSAR coherence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5"/>
    <w:bookmarkStart w:id="319" w:name="fig:sar-gslc-example-fig1d"/>
    <w:p>
      <w:pPr>
        <w:pStyle w:val="CaptionedFigure"/>
      </w:pPr>
      <w:r>
        <w:drawing>
          <wp:inline>
            <wp:extent cx="3810000" cy="2540000"/>
            <wp:effectExtent b="0" l="0" r="0" t="0"/>
            <wp:docPr descr="Figure 4: InSAR differential phase map generated directly from Figure 1 and Figure 2" title="" id="317" name="Picture"/>
            <a:graphic>
              <a:graphicData uri="http://schemas.openxmlformats.org/drawingml/2006/picture">
                <pic:pic>
                  <pic:nvPicPr>
                    <pic:cNvPr descr="assets/sar-gslc-example/S1-InSAR-differential-phase.png" id="318" name="Picture"/>
                    <pic:cNvPicPr>
                      <a:picLocks noChangeArrowheads="1" noChangeAspect="1"/>
                    </pic:cNvPicPr>
                  </pic:nvPicPr>
                  <pic:blipFill>
                    <a:blip r:embed="rId31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InSAR differential phase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9"/>
    <w:p>
      <w:pPr>
        <w:pStyle w:val="Textkrper"/>
      </w:pPr>
      <w:r>
        <w:t xml:space="preserve">Some advanced GSLC product can be provided with</w:t>
      </w:r>
      <w:r>
        <w:t xml:space="preserve"> </w:t>
      </w:r>
      <w:r>
        <w:t xml:space="preserve">“Radar Unit Look Vector Grid Image”</w:t>
      </w:r>
      <w:r>
        <w:t xml:space="preserve"> </w:t>
      </w:r>
      <w:r>
        <w:t xml:space="preserve">per-pixel metadata (Figures </w:t>
      </w:r>
      <w:hyperlink w:anchor="fig:sar-gslc-example-fig2a">
        <w:r>
          <w:rPr>
            <w:rStyle w:val="Hyperlink"/>
          </w:rPr>
          <w:t xml:space="preserve">5</w:t>
        </w:r>
      </w:hyperlink>
      <w:r>
        <w:t xml:space="preserve">-</w:t>
      </w:r>
      <w:hyperlink w:anchor="fig:sar-gslc-example-fig2c">
        <w:r>
          <w:rPr>
            <w:rStyle w:val="Hyperlink"/>
          </w:rPr>
          <w:t xml:space="preserve">7</w:t>
        </w:r>
      </w:hyperlink>
      <w:r>
        <w:t xml:space="preserve">) which gives the accurate 3-D components radar unit look vector used as for example in decomposing the vertical and horizontal component of an InSAR surface displacement estimate.</w:t>
      </w:r>
    </w:p>
    <w:p>
      <w:pPr>
        <w:pStyle w:val="Textkrper"/>
      </w:pPr>
      <w:r>
        <w:t xml:space="preserve">The following figures show 3-D components radar unit look vector of the GSLC product:</w:t>
      </w:r>
    </w:p>
    <w:bookmarkStart w:id="323" w:name="fig:sar-gslc-example-fig2a"/>
    <w:p>
      <w:pPr>
        <w:pStyle w:val="CaptionedFigure"/>
      </w:pPr>
      <w:r>
        <w:drawing>
          <wp:inline>
            <wp:extent cx="3810000" cy="2540000"/>
            <wp:effectExtent b="0" l="0" r="0" t="0"/>
            <wp:docPr descr="Figure 5: x unit component" title="" id="321" name="Picture"/>
            <a:graphic>
              <a:graphicData uri="http://schemas.openxmlformats.org/drawingml/2006/picture">
                <pic:pic>
                  <pic:nvPicPr>
                    <pic:cNvPr descr="assets/sar-gslc-example/S1-GSLC-x-component.png" id="322" name="Picture"/>
                    <pic:cNvPicPr>
                      <a:picLocks noChangeArrowheads="1" noChangeAspect="1"/>
                    </pic:cNvPicPr>
                  </pic:nvPicPr>
                  <pic:blipFill>
                    <a:blip r:embed="rId3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x unit component</w:t>
      </w:r>
    </w:p>
    <w:bookmarkEnd w:id="323"/>
    <w:bookmarkStart w:id="327" w:name="fig:sar-gslc-example-fig2b"/>
    <w:p>
      <w:pPr>
        <w:pStyle w:val="CaptionedFigure"/>
      </w:pPr>
      <w:r>
        <w:drawing>
          <wp:inline>
            <wp:extent cx="3810000" cy="2540000"/>
            <wp:effectExtent b="0" l="0" r="0" t="0"/>
            <wp:docPr descr="Figure 6: y unit component" title="" id="325" name="Picture"/>
            <a:graphic>
              <a:graphicData uri="http://schemas.openxmlformats.org/drawingml/2006/picture">
                <pic:pic>
                  <pic:nvPicPr>
                    <pic:cNvPr descr="assets/sar-gslc-example/S1-GSLC-y-component.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y unit component</w:t>
      </w:r>
    </w:p>
    <w:bookmarkEnd w:id="327"/>
    <w:bookmarkStart w:id="331" w:name="fig:sar-gslc-example-fig2c"/>
    <w:p>
      <w:pPr>
        <w:pStyle w:val="CaptionedFigure"/>
      </w:pPr>
      <w:r>
        <w:drawing>
          <wp:inline>
            <wp:extent cx="3810000" cy="2540000"/>
            <wp:effectExtent b="0" l="0" r="0" t="0"/>
            <wp:docPr descr="Figure 7: z unit component" title="" id="329" name="Picture"/>
            <a:graphic>
              <a:graphicData uri="http://schemas.openxmlformats.org/drawingml/2006/picture">
                <pic:pic>
                  <pic:nvPicPr>
                    <pic:cNvPr descr="assets/sar-gslc-example/S1-GSLC-z-component.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z unit component</w:t>
      </w:r>
    </w:p>
    <w:bookmarkEnd w:id="331"/>
    <w:bookmarkEnd w:id="332"/>
    <w:bookmarkEnd w:id="333"/>
    <w:bookmarkEnd w:id="33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20" Target="media/rId320.png" /><Relationship Type="http://schemas.openxmlformats.org/officeDocument/2006/relationships/image" Id="rId324" Target="media/rId324.png" /><Relationship Type="http://schemas.openxmlformats.org/officeDocument/2006/relationships/image" Id="rId328" Target="media/rId328.png" /><Relationship Type="http://schemas.openxmlformats.org/officeDocument/2006/relationships/image" Id="rId304" Target="media/rId304.jpg" /><Relationship Type="http://schemas.openxmlformats.org/officeDocument/2006/relationships/image" Id="rId308" Target="media/rId308.jpg" /><Relationship Type="http://schemas.openxmlformats.org/officeDocument/2006/relationships/image" Id="rId312" Target="media/rId312.png" /><Relationship Type="http://schemas.openxmlformats.org/officeDocument/2006/relationships/image" Id="rId316" Target="media/rId316.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Geocoded Single-Look Complex - Version 1.2-draft</dc:title>
  <dc:creator/>
  <dc:language>en</dc:language>
  <cp:keywords/>
  <dcterms:created xsi:type="dcterms:W3CDTF">2025-05-14T09:28:01Z</dcterms:created>
  <dcterms:modified xsi:type="dcterms:W3CDTF">2025-05-14T09:28:01Z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build/SAR-GSLC.bib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