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2"/>
    <w:bookmarkStart w:id="183"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6"/>
    <w:bookmarkStart w:id="187"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4"/>
    <w:bookmarkStart w:id="195"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89"/>
        </w:numPr>
      </w:pPr>
      <w:r>
        <w:t xml:space="preserve">Measurement Type (Gamma-Nought)</w:t>
      </w:r>
    </w:p>
    <w:p>
      <w:pPr>
        <w:pStyle w:val="Compact"/>
        <w:numPr>
          <w:ilvl w:val="0"/>
          <w:numId w:val="1089"/>
        </w:numPr>
      </w:pPr>
      <w:r>
        <w:t xml:space="preserve">Backscatter Expression Convention (linear amplitude, linear power*)</w:t>
      </w:r>
    </w:p>
    <w:p>
      <w:pPr>
        <w:pStyle w:val="Compact"/>
        <w:numPr>
          <w:ilvl w:val="0"/>
          <w:numId w:val="1089"/>
        </w:numPr>
      </w:pPr>
      <w:r>
        <w:t xml:space="preserve">Polarization (HH, HV, VV, VH)</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p>
      <w:pPr>
        <w:pStyle w:val="FirstParagraph"/>
      </w:pPr>
      <w:r>
        <w:t xml:space="preserve">Notes:</w:t>
      </w:r>
    </w:p>
    <w:p>
      <w:pPr>
        <w:pStyle w:val="Compact"/>
        <w:numPr>
          <w:ilvl w:val="0"/>
          <w:numId w:val="1090"/>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3"/>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5"/>
        </w:numPr>
      </w:pPr>
      <w:r>
        <w:t xml:space="preserve">a citable peer-reviewed algorithm</w:t>
      </w:r>
    </w:p>
    <w:p>
      <w:pPr>
        <w:pStyle w:val="Compact"/>
        <w:numPr>
          <w:ilvl w:val="0"/>
          <w:numId w:val="1095"/>
        </w:numPr>
      </w:pPr>
      <w:r>
        <w:t xml:space="preserve">technical documentation regarding the algorithm used to generate the backscatter estimates is expressed as URLs or DOIs</w:t>
      </w:r>
    </w:p>
    <w:p>
      <w:pPr>
        <w:pStyle w:val="Compact"/>
        <w:numPr>
          <w:ilvl w:val="0"/>
          <w:numId w:val="1095"/>
        </w:numPr>
      </w:pPr>
      <w:r>
        <w:t xml:space="preserve">the sources of auxiliary data used to make corrections</w:t>
      </w:r>
    </w:p>
    <w:p>
      <w:pPr>
        <w:pStyle w:val="FirstParagraph"/>
      </w:pPr>
      <w:r>
        <w:t xml:space="preserve">Notes:</w:t>
      </w:r>
    </w:p>
    <w:p>
      <w:pPr>
        <w:pStyle w:val="Compact"/>
        <w:numPr>
          <w:ilvl w:val="0"/>
          <w:numId w:val="1096"/>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99"/>
        </w:numPr>
      </w:pPr>
      <w:r>
        <w:t xml:space="preserve">Measurement Type (Flattened Phase)</w:t>
      </w:r>
    </w:p>
    <w:p>
      <w:pPr>
        <w:pStyle w:val="Compact"/>
        <w:numPr>
          <w:ilvl w:val="0"/>
          <w:numId w:val="1099"/>
        </w:numPr>
      </w:pPr>
      <w:r>
        <w:t xml:space="preserve">Reference Polarization (HH/HV/VV/VH)</w:t>
      </w:r>
    </w:p>
    <w:p>
      <w:pPr>
        <w:pStyle w:val="Compact"/>
        <w:numPr>
          <w:ilvl w:val="0"/>
          <w:numId w:val="1099"/>
        </w:numPr>
      </w:pPr>
      <w:r>
        <w:t xml:space="preserve">Data Format (GeoTIFF, HDF5, NetCDF, …)</w:t>
      </w:r>
    </w:p>
    <w:p>
      <w:pPr>
        <w:pStyle w:val="Compact"/>
        <w:numPr>
          <w:ilvl w:val="0"/>
          <w:numId w:val="1099"/>
        </w:numPr>
      </w:pPr>
      <w:r>
        <w:t xml:space="preserve">Data Type (Int, Float, …)</w:t>
      </w:r>
    </w:p>
    <w:p>
      <w:pPr>
        <w:pStyle w:val="Compact"/>
        <w:numPr>
          <w:ilvl w:val="0"/>
          <w:numId w:val="1099"/>
        </w:numPr>
      </w:pPr>
      <w:r>
        <w:t xml:space="preserve">Bits per Sample</w:t>
      </w:r>
    </w:p>
    <w:p>
      <w:pPr>
        <w:pStyle w:val="Compact"/>
        <w:numPr>
          <w:ilvl w:val="0"/>
          <w:numId w:val="1099"/>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32"/>
    <w:bookmarkStart w:id="233" w:name="assessment-48"/>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2025-04-22T17:16:36Z</dcterms:created>
  <dcterms:modified xsi:type="dcterms:W3CDTF">2025-04-22T17:16:36Z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