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4"/>
        </w:numPr>
      </w:pPr>
      <w:r>
        <w:t xml:space="preserve">Sample Type (Scattering Area)</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171"/>
    <w:bookmarkStart w:id="172" w:name="assessment-3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6"/>
        </w:numPr>
      </w:pPr>
      <w:r>
        <w:t xml:space="preserve">Sample Type (Angle)</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rPr>
          <w:i/>
          <w:iCs/>
        </w:rPr>
        <w:t xml:space="preserve">None</w:t>
      </w:r>
    </w:p>
    <w:bookmarkEnd w:id="178"/>
    <w:bookmarkStart w:id="179" w:name="goal-requirements-35"/>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9"/>
        </w:numPr>
      </w:pPr>
      <w:r>
        <w:t xml:space="preserve">Sample Type (Angle)</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Compact"/>
        <w:numPr>
          <w:ilvl w:val="0"/>
          <w:numId w:val="1079"/>
        </w:numPr>
      </w:pPr>
      <w:r>
        <w:t xml:space="preserve">Reference Ellipsoid Name</w:t>
      </w:r>
    </w:p>
    <w:p>
      <w:pPr>
        <w:pStyle w:val="FirstParagraph"/>
      </w:pPr>
      <w:r>
        <w:t xml:space="preserve">Notes:</w:t>
      </w:r>
    </w:p>
    <w:p>
      <w:pPr>
        <w:pStyle w:val="Compact"/>
        <w:numPr>
          <w:ilvl w:val="0"/>
          <w:numId w:val="1080"/>
        </w:numPr>
      </w:pPr>
      <w:r>
        <w:t xml:space="preserve">For maritime ORB scenes when no land areas are covered, the ellipsoidal incident angle is nearly identical to the geoid based local incident angle.</w:t>
      </w:r>
    </w:p>
    <w:bookmarkEnd w:id="179"/>
    <w:bookmarkStart w:id="180" w:name="assessment-35"/>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2"/>
        </w:numPr>
      </w:pPr>
      <w:r>
        <w:t xml:space="preserve">Sample Type (Gamma-Nought, Sigma-Nought, Beta-Nought)</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3"/>
    <w:bookmarkStart w:id="184" w:name="assessment-36"/>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p>
      <w:pPr>
        <w:pStyle w:val="Compact"/>
        <w:numPr>
          <w:ilvl w:val="0"/>
          <w:numId w:val="1086"/>
        </w:numPr>
      </w:pPr>
      <w:r>
        <w:t xml:space="preserve">Ground Sampling Distance</w:t>
      </w:r>
    </w:p>
    <w:bookmarkEnd w:id="191"/>
    <w:bookmarkStart w:id="192" w:name="assessment-38"/>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8"/>
        </w:numPr>
      </w:pPr>
      <w:r>
        <w:t xml:space="preserve">Sample Type (Angle)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195"/>
    <w:bookmarkStart w:id="196" w:name="assessment-39"/>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1"/>
        </w:numPr>
      </w:pPr>
      <w:r>
        <w:t xml:space="preserve">Measurement Type (Sigma-Nought)</w:t>
      </w:r>
    </w:p>
    <w:p>
      <w:pPr>
        <w:pStyle w:val="Compact"/>
        <w:numPr>
          <w:ilvl w:val="0"/>
          <w:numId w:val="1091"/>
        </w:numPr>
      </w:pPr>
      <w:r>
        <w:t xml:space="preserve">Backscatter Expression Convention (linear amplitude, linear power*)</w:t>
      </w:r>
    </w:p>
    <w:p>
      <w:pPr>
        <w:pStyle w:val="Compact"/>
        <w:numPr>
          <w:ilvl w:val="0"/>
          <w:numId w:val="1091"/>
        </w:numPr>
      </w:pPr>
      <w:r>
        <w:t xml:space="preserve">Backscatter Conversion Equation</w:t>
      </w:r>
    </w:p>
    <w:p>
      <w:pPr>
        <w:pStyle w:val="Compact"/>
        <w:numPr>
          <w:ilvl w:val="0"/>
          <w:numId w:val="1091"/>
        </w:numPr>
      </w:pPr>
      <w:r>
        <w:t xml:space="preserve">Polarization (HH, HV, VV, VH)</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p>
      <w:pPr>
        <w:pStyle w:val="FirstParagraph"/>
      </w:pPr>
      <w:r>
        <w:t xml:space="preserve">Notes:</w:t>
      </w:r>
    </w:p>
    <w:p>
      <w:pPr>
        <w:pStyle w:val="Compact"/>
        <w:numPr>
          <w:ilvl w:val="0"/>
          <w:numId w:val="1092"/>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5"/>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8"/>
        </w:numPr>
      </w:pPr>
      <w:r>
        <w:t xml:space="preserve">Measurement Type (Wind-Normalised Backscatter)</w:t>
      </w:r>
    </w:p>
    <w:p>
      <w:pPr>
        <w:pStyle w:val="Compact"/>
        <w:numPr>
          <w:ilvl w:val="0"/>
          <w:numId w:val="1098"/>
        </w:numPr>
      </w:pPr>
      <w:r>
        <w:t xml:space="preserve">Backscatter Expression Convention (intensity ratio)</w:t>
      </w:r>
    </w:p>
    <w:p>
      <w:pPr>
        <w:pStyle w:val="Compact"/>
        <w:numPr>
          <w:ilvl w:val="0"/>
          <w:numId w:val="1098"/>
        </w:numPr>
      </w:pPr>
      <w:r>
        <w:t xml:space="preserve">Polarization (HH, HV, VV, VH)</w:t>
      </w:r>
    </w:p>
    <w:p>
      <w:pPr>
        <w:pStyle w:val="Compact"/>
        <w:numPr>
          <w:ilvl w:val="0"/>
          <w:numId w:val="1098"/>
        </w:numPr>
      </w:pPr>
      <w:r>
        <w:t xml:space="preserve">Data Format (GeoTIFF, HDF5, NetCDF, …)</w:t>
      </w:r>
    </w:p>
    <w:p>
      <w:pPr>
        <w:pStyle w:val="Compact"/>
        <w:numPr>
          <w:ilvl w:val="0"/>
          <w:numId w:val="1098"/>
        </w:numPr>
      </w:pPr>
      <w:r>
        <w:t xml:space="preserve">Data Type (Int, Float, …)</w:t>
      </w:r>
    </w:p>
    <w:p>
      <w:pPr>
        <w:pStyle w:val="Compact"/>
        <w:numPr>
          <w:ilvl w:val="0"/>
          <w:numId w:val="1098"/>
        </w:numPr>
      </w:pPr>
      <w:r>
        <w:t xml:space="preserve">Bits per Sample</w:t>
      </w:r>
    </w:p>
    <w:p>
      <w:pPr>
        <w:pStyle w:val="Compact"/>
        <w:numPr>
          <w:ilvl w:val="0"/>
          <w:numId w:val="1098"/>
        </w:numPr>
      </w:pPr>
      <w:r>
        <w:t xml:space="preserve">Byte Order</w:t>
      </w:r>
    </w:p>
    <w:p>
      <w:pPr>
        <w:pStyle w:val="FirstParagraph"/>
      </w:pPr>
      <w:r>
        <w:t xml:space="preserve">Notes:</w:t>
      </w:r>
    </w:p>
    <w:p>
      <w:pPr>
        <w:pStyle w:val="Compact"/>
        <w:numPr>
          <w:ilvl w:val="0"/>
          <w:numId w:val="1099"/>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p>
    <w:p>
      <w:pPr>
        <w:pStyle w:val="Compact"/>
        <w:numPr>
          <w:ilvl w:val="0"/>
          <w:numId w:val="1101"/>
        </w:numPr>
      </w:pPr>
      <w:r>
        <w:t xml:space="preserve">A metadata citable peer-reviewed algorithm</w:t>
      </w:r>
    </w:p>
    <w:p>
      <w:pPr>
        <w:pStyle w:val="Compact"/>
        <w:numPr>
          <w:ilvl w:val="0"/>
          <w:numId w:val="1101"/>
        </w:numPr>
      </w:pPr>
      <w:r>
        <w:t xml:space="preserve">Technical documentation regarding the implementation of that algorithm expressed as URLs or DOIs</w:t>
      </w:r>
    </w:p>
    <w:p>
      <w:pPr>
        <w:pStyle w:val="Compact"/>
        <w:numPr>
          <w:ilvl w:val="0"/>
          <w:numId w:val="1101"/>
        </w:numPr>
      </w:pPr>
      <w:r>
        <w:t xml:space="preserve">The sources of auxiliary data used to make corrections</w:t>
      </w:r>
    </w:p>
    <w:p>
      <w:pPr>
        <w:pStyle w:val="Compact"/>
        <w:numPr>
          <w:ilvl w:val="0"/>
          <w:numId w:val="1101"/>
        </w:numPr>
      </w:pPr>
      <w:r>
        <w:t xml:space="preserve">Resampling method used for geometric processing of the source data</w:t>
      </w:r>
    </w:p>
    <w:p>
      <w:pPr>
        <w:pStyle w:val="FirstParagraph"/>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29"/>
    <w:bookmarkStart w:id="230" w:name="assessment-47"/>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2025-06-13T14:57:54Z</dcterms:created>
  <dcterms:modified xsi:type="dcterms:W3CDTF">2025-06-13T14:57:54Z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