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completed by the user if necessary.</w:t>
      </w:r>
    </w:p>
    <w:bookmarkEnd w:id="194"/>
    <w:bookmarkStart w:id="195" w:name="goal-requirements-39"/>
    <w:p>
      <w:pPr>
        <w:pStyle w:val="berschrift5"/>
      </w:pPr>
      <w:r>
        <w:t xml:space="preserve">Goal requirements:</w:t>
      </w:r>
    </w:p>
    <w:p>
      <w:pPr>
        <w:pStyle w:val="FirstParagraph"/>
      </w:pPr>
      <w:r>
        <w:t xml:space="preserve">Radiometrically Terrain-corrected Sigma-Nought backscatter coefficient (</w:t>
      </w:r>
      <m:oMath>
        <m:sSubSup>
          <m:e>
            <m:r>
              <m:t>σ</m:t>
            </m:r>
          </m:e>
          <m:sub>
            <m:r>
              <m:t>T</m:t>
            </m:r>
          </m:sub>
          <m:sup>
            <m:r>
              <m:t>0</m:t>
            </m:r>
          </m:sup>
        </m:sSubSup>
      </m:oMath>
      <w:r>
        <w:t xml:space="preserve">) is provided for each polarization.</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pP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2025-07-28T15:57:03Z</dcterms:created>
  <dcterms:modified xsi:type="dcterms:W3CDTF">2025-07-28T15:57:03Z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