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1"/>
    <w:bookmarkStart w:id="172"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8"/>
    <w:bookmarkStart w:id="179" w:name="goal-requirements-35"/>
    <w:p>
      <w:pPr>
        <w:pStyle w:val="berschrift5"/>
      </w:pPr>
      <w:r>
        <w:t xml:space="preserve">Goal requirements:</w:t>
      </w:r>
    </w:p>
    <w:p>
      <w:pPr>
        <w:pStyle w:val="FirstParagraph"/>
      </w:pPr>
      <w:r>
        <w:rPr>
          <w:i/>
          <w:iCs/>
        </w:rPr>
        <w:t xml:space="preserve">None</w:t>
      </w:r>
    </w:p>
    <w:bookmarkEnd w:id="179"/>
    <w:bookmarkStart w:id="180"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3"/>
    <w:bookmarkStart w:id="184"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p>
      <w:pPr>
        <w:pStyle w:val="Compact"/>
        <w:numPr>
          <w:ilvl w:val="0"/>
          <w:numId w:val="1085"/>
        </w:numPr>
      </w:pPr>
      <w:r>
        <w:t xml:space="preserve">Ground Sampling Distance</w:t>
      </w:r>
    </w:p>
    <w:bookmarkEnd w:id="191"/>
    <w:bookmarkStart w:id="192"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7"/>
        </w:numPr>
      </w:pPr>
      <w:r>
        <w:t xml:space="preserve">Sample Type (Angle)</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5"/>
    <w:bookmarkStart w:id="196"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(Sigma-Nought)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Backscatter Conversion Equation</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7"/>
        </w:numPr>
      </w:pPr>
      <w:r>
        <w:t xml:space="preserve">Measurement Type (Wind-Normalised Backscatter)</w:t>
      </w:r>
    </w:p>
    <w:p>
      <w:pPr>
        <w:pStyle w:val="Compact"/>
        <w:numPr>
          <w:ilvl w:val="0"/>
          <w:numId w:val="1097"/>
        </w:numPr>
      </w:pPr>
      <w:r>
        <w:t xml:space="preserve">Backscatter Expression Convention (intensity ratio)</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0"/>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2"/>
        </w:numPr>
      </w:pPr>
      <w:r>
        <w:t xml:space="preserve">During ortho-rectification, the data provider shall use the same DEM that was used for the radiometric terrain flattening to ensure consistency of the data stack.</w:t>
      </w:r>
    </w:p>
    <w:p>
      <w:pPr>
        <w:pStyle w:val="Compact"/>
        <w:numPr>
          <w:ilvl w:val="0"/>
          <w:numId w:val="1102"/>
        </w:numPr>
      </w:pPr>
      <w:r>
        <w:t xml:space="preserve">Provide reference to Digital Elevation Model used for geometric terrain correction.</w:t>
      </w:r>
    </w:p>
    <w:p>
      <w:pPr>
        <w:pStyle w:val="Compact"/>
        <w:numPr>
          <w:ilvl w:val="0"/>
          <w:numId w:val="1102"/>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3"/>
        </w:numPr>
      </w:pPr>
      <w:r>
        <w:t xml:space="preserve">Resampling method used for preparation of the DEM.</w:t>
      </w:r>
    </w:p>
    <w:p>
      <w:pPr>
        <w:pStyle w:val="Compact"/>
        <w:numPr>
          <w:ilvl w:val="0"/>
          <w:numId w:val="1103"/>
        </w:numPr>
      </w:pPr>
      <w:r>
        <w:t xml:space="preserve">Method used for resampling the EGM.</w:t>
      </w:r>
    </w:p>
    <w:bookmarkEnd w:id="229"/>
    <w:bookmarkStart w:id="230"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Goal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5"/>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8"/>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0"/>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0"/>
        </w:numPr>
      </w:pPr>
      <w:r>
        <w:t xml:space="preserve">Apply instrument calibration to produce Beta-Nought values with high fidelity.</w:t>
      </w:r>
    </w:p>
    <w:p>
      <w:pPr>
        <w:pStyle w:val="Compact"/>
        <w:numPr>
          <w:ilvl w:val="0"/>
          <w:numId w:val="1110"/>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0"/>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0"/>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0"/>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0"/>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0"/>
        </w:numPr>
      </w:pPr>
      <w:r>
        <w:t xml:space="preserve">Generate CEOS format metadata to accompany product layers.</w:t>
      </w:r>
    </w:p>
    <w:p>
      <w:pPr>
        <w:pStyle w:val="Compact"/>
        <w:numPr>
          <w:ilvl w:val="0"/>
          <w:numId w:val="1110"/>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1"/>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1"/>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2025-04-22T17:37:56Z</dcterms:created>
  <dcterms:modified xsi:type="dcterms:W3CDTF">2025-04-22T17:37:56Z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