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288.png" ContentType="image/png"/>
  <Override PartName="/word/media/rId284.png" ContentType="image/png"/>
  <Override PartName="/word/media/rId292.png" ContentType="image/png"/>
  <Override PartName="/word/media/rId304.png" ContentType="image/png"/>
  <Override PartName="/word/media/rId296.png" ContentType="image/png"/>
  <Override PartName="/word/media/rId3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0" w:name="X405d8e65832ac294d4126c2e16ac6a514f2a68e"/>
    <w:p>
      <w:pPr>
        <w:pStyle w:val="berschrift1"/>
      </w:pPr>
      <w:r>
        <w:t xml:space="preserve">CEOS-ARD - Synthetic Aperture Radar - Ocean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Ocean Radar Backscatter (SAR-ORB)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Ocean Radar Backscatter (ORB) product specification describes products that have been projected on a geoid and are provided in the Sigma-Nought (</w:t>
      </w:r>
      <m:oMath>
        <m:sSup>
          <m:e>
            <m:r>
              <m:t>σ</m:t>
            </m:r>
          </m:e>
          <m:sup>
            <m:r>
              <m:t>0</m:t>
            </m:r>
          </m:sup>
        </m:sSup>
      </m:oMath>
      <w:r>
        <w:t xml:space="preserve">) backscatter convention, which is recommended for most ocean applications.</w:t>
      </w:r>
      <w:r>
        <w:t xml:space="preserve"> </w:t>
      </w:r>
      <w:r>
        <w:t xml:space="preserve">Backscatter may be calibrated to the ellipsoid (</w:t>
      </w:r>
      <m:oMath>
        <m:sSubSup>
          <m:e>
            <m:r>
              <m:t>σ</m:t>
            </m:r>
          </m:e>
          <m:sub>
            <m:r>
              <m:t>E</m:t>
            </m:r>
          </m:sub>
          <m:sup>
            <m:r>
              <m:t>0</m:t>
            </m:r>
          </m:sup>
        </m:sSubSup>
      </m:oMath>
      <w:r>
        <w:t xml:space="preserve">) or radiometrically terrain corrected (</w:t>
      </w:r>
      <m:oMath>
        <m:sSubSup>
          <m:e>
            <m:r>
              <m:t>σ</m:t>
            </m:r>
          </m:e>
          <m:sub>
            <m:r>
              <m:t>T</m:t>
            </m:r>
          </m:sub>
          <m:sup>
            <m:r>
              <m:t>0</m:t>
            </m:r>
          </m:sup>
        </m:sSubSup>
      </m:oMath>
      <w:r>
        <w:t xml:space="preserve">) prior to geometric terrain correction.</w:t>
      </w:r>
      <w:r>
        <w:t xml:space="preserve"> </w:t>
      </w:r>
      <w:r>
        <w:t xml:space="preserve">As the basic ORB product contains backscatter values only, it</w:t>
      </w:r>
      <w:r>
        <w:t xml:space="preserve"> </w:t>
      </w:r>
      <w:r>
        <w:rPr>
          <w:i/>
          <w:iCs/>
        </w:rPr>
        <w:t xml:space="preserve">cannot</w:t>
      </w:r>
      <w:r>
        <w:t xml:space="preserve"> </w:t>
      </w:r>
      <w:r>
        <w:t xml:space="preserve">be directly used for SAR polarimetry or interferometric applications that require local phase estimates.</w:t>
      </w:r>
      <w:r>
        <w:t xml:space="preserve"> </w:t>
      </w:r>
      <w:r>
        <w:t xml:space="preserve">Nonetheless, an advanced ORB product could include the upper diagonal of the polarimetric</w:t>
      </w:r>
      <w:r>
        <w:t xml:space="preserve"> </w:t>
      </w:r>
      <m:oMath>
        <m:sSup>
          <m:e>
            <m:r>
              <m:t>σ</m:t>
            </m:r>
          </m:e>
          <m:sup>
            <m:r>
              <m:t>0</m:t>
            </m:r>
          </m:sup>
        </m:sSup>
      </m:oMath>
      <w:r>
        <w:t xml:space="preserve"> </w:t>
      </w:r>
      <w:r>
        <w:t xml:space="preserve">covariance matrix for enabling advanced polarimetric analysis (similar to the POL product).</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5"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7"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6" w:name="X5bb9b2ac09c5664ba4efd86865f81b1ca41ca20"/>
    <w:p>
      <w:pPr>
        <w:pStyle w:val="berschrift4"/>
      </w:pPr>
      <w:r>
        <w:rPr>
          <w:rStyle w:val="VerbatimChar"/>
        </w:rPr>
        <w:t xml:space="preserve">3.12.</w:t>
      </w:r>
      <w:r>
        <w:t xml:space="preserve"> </w:t>
      </w:r>
      <w:r>
        <w:t xml:space="preserve">Product Metadata: Look Direction Polynomials</w:t>
      </w:r>
    </w:p>
    <w:p>
      <w:pPr>
        <w:pStyle w:val="FirstParagraph"/>
      </w:pPr>
      <w:r>
        <w:t xml:space="preserve">Identifier:</w:t>
      </w:r>
      <w:r>
        <w:t xml:space="preserve"> </w:t>
      </w:r>
      <w:r>
        <w:rPr>
          <w:rStyle w:val="VerbatimChar"/>
        </w:rPr>
        <w:t xml:space="preserve">prd.metadata-look-direction-polynomials</w:t>
      </w:r>
    </w:p>
    <w:bookmarkStart w:id="153" w:name="threshold-requirements-29"/>
    <w:p>
      <w:pPr>
        <w:pStyle w:val="berschrift5"/>
      </w:pPr>
      <w:r>
        <w:t xml:space="preserve">Threshold requirements:</w:t>
      </w:r>
    </w:p>
    <w:p>
      <w:pPr>
        <w:pStyle w:val="FirstParagraph"/>
      </w:pPr>
      <w:r>
        <w:t xml:space="preserve">In case the Look Direction Image (see Section </w:t>
      </w:r>
      <w:r>
        <w:t xml:space="preserve">“</w:t>
      </w:r>
      <w:hyperlink w:anchor="sec:pxl.per-pixel-look-direction">
        <w:r>
          <w:rPr>
            <w:rStyle w:val="Hyperlink"/>
          </w:rPr>
          <w:t xml:space="preserve">Per-Pixel Metadata: Look Direction Image</w:t>
        </w:r>
      </w:hyperlink>
      <w:r>
        <w:t xml:space="preserve">”</w:t>
      </w:r>
      <w:r>
        <w:t xml:space="preserve">) is</w:t>
      </w:r>
      <w:r>
        <w:t xml:space="preserve"> </w:t>
      </w:r>
      <w:r>
        <w:rPr>
          <w:b/>
          <w:bCs/>
        </w:rPr>
        <w:t xml:space="preserve">not</w:t>
      </w:r>
      <w:r>
        <w:t xml:space="preserve"> </w:t>
      </w:r>
      <w:r>
        <w:t xml:space="preserve">provided, then a list of the polynomial coefficients are necessary to reconstruct the look direction angle</w:t>
      </w:r>
      <w:r>
        <w:rPr>
          <w:rStyle w:val="Funotenzeichen"/>
        </w:rPr>
        <w:footnoteReference w:id="152"/>
      </w:r>
      <w:r>
        <w:t xml:space="preserve">, together with an estimate of the added error from use of polynomial vs. per-pixel more accurate values, shall be provided.</w:t>
      </w:r>
    </w:p>
    <w:p>
      <w:pPr>
        <w:pStyle w:val="Textkrper"/>
      </w:pPr>
      <w:r>
        <w:t xml:space="preserve">Example polynomial:</w:t>
      </w:r>
    </w:p>
    <w:p>
      <w:pPr>
        <w:pStyle w:val="Textkrper"/>
      </w:pPr>
      <m:oMathPara>
        <m:oMathParaPr>
          <m:jc m:val="center"/>
        </m:oMathParaPr>
        <m:oMath>
          <m:r>
            <m:rPr>
              <m:nor/>
              <m:sty m:val="p"/>
            </m:rPr>
            <m:t>LookDir</m:t>
          </m:r>
          <m:r>
            <m:rPr>
              <m:sty m:val="p"/>
            </m:rPr>
            <m:t>=</m:t>
          </m:r>
          <m:sSub>
            <m:e>
              <m:r>
                <m:t>a</m:t>
              </m:r>
            </m:e>
            <m:sub>
              <m:r>
                <m:t>1</m:t>
              </m:r>
            </m:sub>
          </m:sSub>
          <m:sSup>
            <m:e>
              <m:r>
                <m:rPr>
                  <m:nor/>
                  <m:sty m:val="p"/>
                </m:rPr>
                <m:t>Lat</m:t>
              </m:r>
            </m:e>
            <m:sup>
              <m:r>
                <m:t>2</m:t>
              </m:r>
            </m:sup>
          </m:sSup>
          <m:r>
            <m:rPr>
              <m:sty m:val="p"/>
            </m:rPr>
            <m:t>+</m:t>
          </m:r>
          <m:sSub>
            <m:e>
              <m:r>
                <m:t>a</m:t>
              </m:r>
            </m:e>
            <m:sub>
              <m:r>
                <m:t>2</m:t>
              </m:r>
            </m:sub>
          </m:sSub>
          <m:sSup>
            <m:e>
              <m:r>
                <m:rPr>
                  <m:nor/>
                  <m:sty m:val="p"/>
                </m:rPr>
                <m:t>Lon</m:t>
              </m:r>
            </m:e>
            <m:sup>
              <m:r>
                <m:t>2</m:t>
              </m:r>
            </m:sup>
          </m:sSup>
          <m:r>
            <m:rPr>
              <m:sty m:val="p"/>
            </m:rPr>
            <m:t>+</m:t>
          </m:r>
          <m:sSub>
            <m:e>
              <m:r>
                <m:t>a</m:t>
              </m:r>
            </m:e>
            <m:sub>
              <m:r>
                <m:t>3</m:t>
              </m:r>
            </m:sub>
          </m:sSub>
          <m:r>
            <m:rPr>
              <m:nor/>
              <m:sty m:val="p"/>
            </m:rPr>
            <m:t>LatLon</m:t>
          </m:r>
          <m:r>
            <m:rPr>
              <m:sty m:val="p"/>
            </m:rPr>
            <m:t>+</m:t>
          </m:r>
          <m:sSub>
            <m:e>
              <m:r>
                <m:t>a</m:t>
              </m:r>
            </m:e>
            <m:sub>
              <m:r>
                <m:t>4</m:t>
              </m:r>
            </m:sub>
          </m:sSub>
          <m:r>
            <m:rPr>
              <m:nor/>
              <m:sty m:val="p"/>
            </m:rPr>
            <m:t>Lat</m:t>
          </m:r>
          <m:r>
            <m:rPr>
              <m:sty m:val="p"/>
            </m:rPr>
            <m:t>+</m:t>
          </m:r>
          <m:sSub>
            <m:e>
              <m:r>
                <m:t>a</m:t>
              </m:r>
            </m:e>
            <m:sub>
              <m:r>
                <m:t>5</m:t>
              </m:r>
            </m:sub>
          </m:sSub>
          <m:r>
            <m:rPr>
              <m:nor/>
              <m:sty m:val="p"/>
            </m:rPr>
            <m:t>Lon</m:t>
          </m:r>
          <m:r>
            <m:rPr>
              <m:sty m:val="p"/>
            </m:rPr>
            <m:t>+</m:t>
          </m:r>
          <m:sSub>
            <m:e>
              <m:r>
                <m:t>a</m:t>
              </m:r>
            </m:e>
            <m:sub>
              <m:r>
                <m:t>6</m:t>
              </m:r>
            </m:sub>
          </m:sSub>
        </m:oMath>
      </m:oMathPara>
    </w:p>
    <w:p>
      <w:pPr>
        <w:pStyle w:val="FirstParagraph"/>
      </w:pPr>
      <w:r>
        <w:t xml:space="preserve">where:</w:t>
      </w:r>
    </w:p>
    <w:p>
      <w:pPr>
        <w:pStyle w:val="Compact"/>
        <w:numPr>
          <w:ilvl w:val="0"/>
          <w:numId w:val="1066"/>
        </w:numPr>
      </w:pPr>
      <m:oMath>
        <m:sSub>
          <m:e>
            <m:r>
              <m:t>a</m:t>
            </m:r>
          </m:e>
          <m:sub>
            <m:r>
              <m:t>i</m:t>
            </m:r>
          </m:sub>
        </m:sSub>
      </m:oMath>
      <w:r>
        <w:t xml:space="preserve"> </w:t>
      </w:r>
      <w:r>
        <w:t xml:space="preserve">= polynomial coefficients</w:t>
      </w:r>
    </w:p>
    <w:p>
      <w:pPr>
        <w:pStyle w:val="Compact"/>
        <w:numPr>
          <w:ilvl w:val="0"/>
          <w:numId w:val="1066"/>
        </w:numPr>
      </w:pPr>
      <m:oMath>
        <m:r>
          <m:rPr>
            <m:nor/>
            <m:sty m:val="p"/>
          </m:rPr>
          <m:t>Lat</m:t>
        </m:r>
      </m:oMath>
      <w:r>
        <w:t xml:space="preserve"> </w:t>
      </w:r>
      <w:r>
        <w:t xml:space="preserve">= latitude</w:t>
      </w:r>
      <w:r>
        <w:br/>
      </w:r>
    </w:p>
    <w:p>
      <w:pPr>
        <w:pStyle w:val="Compact"/>
        <w:numPr>
          <w:ilvl w:val="0"/>
          <w:numId w:val="1066"/>
        </w:numPr>
      </w:pPr>
      <m:oMath>
        <m:r>
          <m:rPr>
            <m:nor/>
            <m:sty m:val="p"/>
          </m:rPr>
          <m:t>Lon</m:t>
        </m:r>
      </m:oMath>
      <w:r>
        <w:t xml:space="preserve"> </w:t>
      </w:r>
      <w:r>
        <w:t xml:space="preserve">= longitude</w:t>
      </w:r>
    </w:p>
    <w:p>
      <w:pPr>
        <w:pStyle w:val="FirstParagraph"/>
      </w:pPr>
      <w:r>
        <w:t xml:space="preserve">Lat and Lon are the related coordinates in the product map units (m, deg, arcsec).</w:t>
      </w:r>
    </w:p>
    <w:bookmarkEnd w:id="153"/>
    <w:bookmarkStart w:id="154" w:name="goal-requirements-29"/>
    <w:p>
      <w:pPr>
        <w:pStyle w:val="berschrift5"/>
      </w:pPr>
      <w:r>
        <w:t xml:space="preserve">Goal requirements:</w:t>
      </w:r>
    </w:p>
    <w:p>
      <w:pPr>
        <w:pStyle w:val="FirstParagraph"/>
      </w:pPr>
      <w:r>
        <w:rPr>
          <w:i/>
          <w:iCs/>
        </w:rPr>
        <w:t xml:space="preserve">None</w:t>
      </w:r>
    </w:p>
    <w:bookmarkEnd w:id="154"/>
    <w:bookmarkStart w:id="155" w:name="assessment-29"/>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55"/>
    <w:bookmarkEnd w:id="156"/>
    <w:bookmarkEnd w:id="157"/>
    <w:bookmarkStart w:id="198"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1"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8" w:name="threshold-requirements-30"/>
    <w:p>
      <w:pPr>
        <w:pStyle w:val="berschrift5"/>
      </w:pPr>
      <w:r>
        <w:t xml:space="preserve">Threshold requirements:</w:t>
      </w:r>
    </w:p>
    <w:p>
      <w:pPr>
        <w:pStyle w:val="FirstParagraph"/>
      </w:pPr>
      <w:r>
        <w:rPr>
          <w:i/>
          <w:iCs/>
        </w:rPr>
        <w:t xml:space="preserve">None</w:t>
      </w:r>
    </w:p>
    <w:bookmarkEnd w:id="158"/>
    <w:bookmarkStart w:id="159" w:name="goal-requirements-30"/>
    <w:p>
      <w:pPr>
        <w:pStyle w:val="berschrift5"/>
      </w:pPr>
      <w:r>
        <w:t xml:space="preserve">Goal requirements:</w:t>
      </w:r>
    </w:p>
    <w:p>
      <w:pPr>
        <w:pStyle w:val="FirstParagraph"/>
      </w:pPr>
      <w:r>
        <w:t xml:space="preserve">All files are provided using cloud-optimized file formats.</w:t>
      </w:r>
    </w:p>
    <w:bookmarkEnd w:id="159"/>
    <w:bookmarkStart w:id="160" w:name="assessment-30"/>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0"/>
    <w:bookmarkEnd w:id="161"/>
    <w:bookmarkStart w:id="165"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2"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2"/>
    <w:bookmarkStart w:id="163"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3"/>
    <w:bookmarkStart w:id="164" w:name="assessment-31"/>
    <w:p>
      <w:pPr>
        <w:pStyle w:val="berschrift5"/>
      </w:pPr>
      <w:r>
        <w:t xml:space="preserve">Assessment:</w:t>
      </w:r>
    </w:p>
    <w:p>
      <w:pPr>
        <w:pStyle w:val="Compact"/>
        <w:numPr>
          <w:ilvl w:val="0"/>
          <w:numId w:val="1069"/>
        </w:numPr>
      </w:pPr>
      <w:r>
        <w:t xml:space="preserve">Threshold Self-Assessment:</w:t>
      </w:r>
    </w:p>
    <w:p>
      <w:pPr>
        <w:pStyle w:val="Compact"/>
        <w:numPr>
          <w:ilvl w:val="0"/>
          <w:numId w:val="1069"/>
        </w:numPr>
      </w:pPr>
      <w:r>
        <w:t xml:space="preserve">Goal Self-Assessment:</w:t>
      </w:r>
    </w:p>
    <w:p>
      <w:pPr>
        <w:pStyle w:val="Compact"/>
        <w:numPr>
          <w:ilvl w:val="0"/>
          <w:numId w:val="1069"/>
        </w:numPr>
      </w:pPr>
      <w:r>
        <w:t xml:space="preserve">Self-Assessment Explanation/ Justification:</w:t>
      </w:r>
    </w:p>
    <w:p>
      <w:pPr>
        <w:pStyle w:val="Compact"/>
        <w:numPr>
          <w:ilvl w:val="0"/>
          <w:numId w:val="1069"/>
        </w:numPr>
      </w:pPr>
      <w:r>
        <w:t xml:space="preserve">Recommended Requirement Modification:</w:t>
      </w:r>
    </w:p>
    <w:p>
      <w:r>
        <w:pict>
          <v:rect style="width:0;height:1.5pt" o:hralign="center" o:hrstd="t" o:hr="t"/>
        </w:pict>
      </w:r>
    </w:p>
    <w:bookmarkEnd w:id="164"/>
    <w:bookmarkEnd w:id="165"/>
    <w:bookmarkStart w:id="169"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6" w:name="threshold-requirements-32"/>
    <w:p>
      <w:pPr>
        <w:pStyle w:val="berschrift5"/>
      </w:pPr>
      <w:r>
        <w:t xml:space="preserve">Threshold requirements:</w:t>
      </w:r>
    </w:p>
    <w:p>
      <w:pPr>
        <w:pStyle w:val="FirstParagraph"/>
      </w:pPr>
      <w:r>
        <w:t xml:space="preserve">Mask image indicating:</w:t>
      </w:r>
    </w:p>
    <w:p>
      <w:pPr>
        <w:pStyle w:val="Compact"/>
        <w:numPr>
          <w:ilvl w:val="0"/>
          <w:numId w:val="1070"/>
        </w:numPr>
      </w:pPr>
      <w:r>
        <w:t xml:space="preserve">Valid data</w:t>
      </w:r>
    </w:p>
    <w:p>
      <w:pPr>
        <w:pStyle w:val="Compact"/>
        <w:numPr>
          <w:ilvl w:val="0"/>
          <w:numId w:val="1070"/>
        </w:numPr>
      </w:pPr>
      <w:r>
        <w:t xml:space="preserve">Invalid data</w:t>
      </w:r>
    </w:p>
    <w:p>
      <w:pPr>
        <w:pStyle w:val="Compact"/>
        <w:numPr>
          <w:ilvl w:val="0"/>
          <w:numId w:val="1070"/>
        </w:numPr>
      </w:pPr>
      <w:r>
        <w:t xml:space="preserve">No data</w:t>
      </w:r>
    </w:p>
    <w:p>
      <w:pPr>
        <w:pStyle w:val="FirstParagraph"/>
      </w:pPr>
      <w:r>
        <w:t xml:space="preserve">File format specifications/contents provided in metadata:</w:t>
      </w:r>
    </w:p>
    <w:p>
      <w:pPr>
        <w:pStyle w:val="Compact"/>
        <w:numPr>
          <w:ilvl w:val="0"/>
          <w:numId w:val="1071"/>
        </w:numPr>
      </w:pPr>
      <w:r>
        <w:t xml:space="preserve">Sample Type (Mask)</w:t>
      </w:r>
    </w:p>
    <w:p>
      <w:pPr>
        <w:pStyle w:val="Compact"/>
        <w:numPr>
          <w:ilvl w:val="0"/>
          <w:numId w:val="1071"/>
        </w:numPr>
      </w:pPr>
      <w:r>
        <w:t xml:space="preserve">Data Format (GeoTIFF, HDF5, NetCDF, …)</w:t>
      </w:r>
    </w:p>
    <w:p>
      <w:pPr>
        <w:pStyle w:val="Compact"/>
        <w:numPr>
          <w:ilvl w:val="0"/>
          <w:numId w:val="1071"/>
        </w:numPr>
      </w:pPr>
      <w:r>
        <w:t xml:space="preserve">Data Type (Int, Float, …)</w:t>
      </w:r>
    </w:p>
    <w:p>
      <w:pPr>
        <w:pStyle w:val="Compact"/>
        <w:numPr>
          <w:ilvl w:val="0"/>
          <w:numId w:val="1071"/>
        </w:numPr>
      </w:pPr>
      <w:r>
        <w:t xml:space="preserve">Bits per Sample</w:t>
      </w:r>
    </w:p>
    <w:p>
      <w:pPr>
        <w:pStyle w:val="Compact"/>
        <w:numPr>
          <w:ilvl w:val="0"/>
          <w:numId w:val="1071"/>
        </w:numPr>
      </w:pPr>
      <w:r>
        <w:t xml:space="preserve">Byte Order</w:t>
      </w:r>
    </w:p>
    <w:p>
      <w:pPr>
        <w:pStyle w:val="Compact"/>
        <w:numPr>
          <w:ilvl w:val="0"/>
          <w:numId w:val="1071"/>
        </w:numPr>
      </w:pPr>
      <w:r>
        <w:t xml:space="preserve">Bit Value Representation</w:t>
      </w:r>
    </w:p>
    <w:bookmarkEnd w:id="166"/>
    <w:bookmarkStart w:id="167"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2"/>
        </w:numPr>
      </w:pPr>
      <w:r>
        <w:t xml:space="preserve">Layover (masked as invalid data in threshold)</w:t>
      </w:r>
    </w:p>
    <w:p>
      <w:pPr>
        <w:pStyle w:val="Compact"/>
        <w:numPr>
          <w:ilvl w:val="0"/>
          <w:numId w:val="1072"/>
        </w:numPr>
      </w:pPr>
      <w:r>
        <w:t xml:space="preserve">Radar shadow (masked as invalid data in threshold)</w:t>
      </w:r>
    </w:p>
    <w:p>
      <w:pPr>
        <w:pStyle w:val="Compact"/>
        <w:numPr>
          <w:ilvl w:val="0"/>
          <w:numId w:val="1072"/>
        </w:numPr>
      </w:pPr>
      <w:r>
        <w:t xml:space="preserve">Ocean water</w:t>
      </w:r>
    </w:p>
    <w:p>
      <w:pPr>
        <w:pStyle w:val="Compact"/>
        <w:numPr>
          <w:ilvl w:val="0"/>
          <w:numId w:val="1072"/>
        </w:numPr>
      </w:pPr>
      <w:r>
        <w:t xml:space="preserve">Land (recommended for ORB)</w:t>
      </w:r>
    </w:p>
    <w:p>
      <w:pPr>
        <w:pStyle w:val="Compact"/>
        <w:numPr>
          <w:ilvl w:val="0"/>
          <w:numId w:val="1072"/>
        </w:numPr>
      </w:pPr>
      <w:r>
        <w:t xml:space="preserve">RTC applied (e.g., for maritime scenes with land samples for which RTC has been applied)</w:t>
      </w:r>
    </w:p>
    <w:p>
      <w:pPr>
        <w:pStyle w:val="Compact"/>
        <w:numPr>
          <w:ilvl w:val="0"/>
          <w:numId w:val="1072"/>
        </w:numPr>
      </w:pPr>
      <w:r>
        <w:t xml:space="preserve">DEM gap filling (i.e., interpolated DEM over gaps)</w:t>
      </w:r>
    </w:p>
    <w:bookmarkEnd w:id="167"/>
    <w:bookmarkStart w:id="168" w:name="assessment-32"/>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68"/>
    <w:bookmarkEnd w:id="169"/>
    <w:bookmarkStart w:id="173"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70" w:name="threshold-requirements-33"/>
    <w:p>
      <w:pPr>
        <w:pStyle w:val="berschrift5"/>
      </w:pPr>
      <w:r>
        <w:t xml:space="preserve">Threshold requirements:</w:t>
      </w:r>
    </w:p>
    <w:p>
      <w:pPr>
        <w:pStyle w:val="FirstParagraph"/>
      </w:pPr>
      <w:r>
        <w:rPr>
          <w:i/>
          <w:iCs/>
        </w:rPr>
        <w:t xml:space="preserve">None</w:t>
      </w:r>
    </w:p>
    <w:bookmarkEnd w:id="170"/>
    <w:bookmarkStart w:id="171"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1"/>
    <w:bookmarkStart w:id="172" w:name="assessment-33"/>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2"/>
    <w:bookmarkEnd w:id="173"/>
    <w:bookmarkStart w:id="177"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4"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4"/>
    <w:bookmarkStart w:id="175" w:name="goal-requirements-34"/>
    <w:p>
      <w:pPr>
        <w:pStyle w:val="berschrift5"/>
      </w:pPr>
      <w:r>
        <w:t xml:space="preserve">Goal requirements:</w:t>
      </w:r>
    </w:p>
    <w:p>
      <w:pPr>
        <w:pStyle w:val="FirstParagraph"/>
      </w:pPr>
      <w:r>
        <w:rPr>
          <w:i/>
          <w:iCs/>
        </w:rPr>
        <w:t xml:space="preserve">None</w:t>
      </w:r>
    </w:p>
    <w:bookmarkEnd w:id="175"/>
    <w:bookmarkStart w:id="176" w:name="assessment-34"/>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6"/>
    <w:bookmarkEnd w:id="177"/>
    <w:bookmarkStart w:id="181"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8"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8"/>
        </w:numPr>
      </w:pPr>
      <w:r>
        <w:t xml:space="preserve">Sample Type (Angle)</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Compact"/>
        <w:numPr>
          <w:ilvl w:val="0"/>
          <w:numId w:val="1078"/>
        </w:numPr>
      </w:pPr>
      <w:r>
        <w:t xml:space="preserve">Reference Ellipsoid Name</w:t>
      </w:r>
    </w:p>
    <w:p>
      <w:pPr>
        <w:pStyle w:val="FirstParagraph"/>
      </w:pPr>
      <w:r>
        <w:t xml:space="preserve">Notes:</w:t>
      </w:r>
    </w:p>
    <w:p>
      <w:pPr>
        <w:pStyle w:val="Compact"/>
        <w:numPr>
          <w:ilvl w:val="0"/>
          <w:numId w:val="1079"/>
        </w:numPr>
      </w:pPr>
      <w:r>
        <w:t xml:space="preserve">For maritime ORB scenes when no land areas are covered, a geoid model could be used for the calculation of the local incident angle</w:t>
      </w:r>
    </w:p>
    <w:bookmarkEnd w:id="178"/>
    <w:bookmarkStart w:id="179" w:name="goal-requirements-35"/>
    <w:p>
      <w:pPr>
        <w:pStyle w:val="berschrift5"/>
      </w:pPr>
      <w:r>
        <w:t xml:space="preserve">Goal requirements:</w:t>
      </w:r>
    </w:p>
    <w:p>
      <w:pPr>
        <w:pStyle w:val="FirstParagraph"/>
      </w:pPr>
      <w:r>
        <w:rPr>
          <w:i/>
          <w:iCs/>
        </w:rPr>
        <w:t xml:space="preserve">None</w:t>
      </w:r>
    </w:p>
    <w:bookmarkEnd w:id="179"/>
    <w:bookmarkStart w:id="180" w:name="assessment-35"/>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p>
      <w:r>
        <w:pict>
          <v:rect style="width:0;height:1.5pt" o:hralign="center" o:hrstd="t" o:hr="t"/>
        </w:pict>
      </w:r>
    </w:p>
    <w:bookmarkEnd w:id="180"/>
    <w:bookmarkEnd w:id="181"/>
    <w:bookmarkStart w:id="185"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2" w:name="threshold-requirements-36"/>
    <w:p>
      <w:pPr>
        <w:pStyle w:val="berschrift5"/>
      </w:pPr>
      <w:r>
        <w:t xml:space="preserve">Threshold requirements:</w:t>
      </w:r>
    </w:p>
    <w:p>
      <w:pPr>
        <w:pStyle w:val="FirstParagraph"/>
      </w:pPr>
      <w:r>
        <w:rPr>
          <w:i/>
          <w:iCs/>
        </w:rPr>
        <w:t xml:space="preserve">None</w:t>
      </w:r>
    </w:p>
    <w:bookmarkEnd w:id="182"/>
    <w:bookmarkStart w:id="183"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1"/>
        </w:numPr>
      </w:pPr>
      <w:r>
        <w:t xml:space="preserve">Sample Type (Gamma-Nought, Sigma-Nought, Beta-Nought)</w:t>
      </w:r>
    </w:p>
    <w:p>
      <w:pPr>
        <w:pStyle w:val="Compact"/>
        <w:numPr>
          <w:ilvl w:val="0"/>
          <w:numId w:val="1081"/>
        </w:numPr>
      </w:pPr>
      <w:r>
        <w:t xml:space="preserve">Data Format (GeoTIFF, HDF5, NetCDF, …)</w:t>
      </w:r>
    </w:p>
    <w:p>
      <w:pPr>
        <w:pStyle w:val="Compact"/>
        <w:numPr>
          <w:ilvl w:val="0"/>
          <w:numId w:val="1081"/>
        </w:numPr>
      </w:pPr>
      <w:r>
        <w:t xml:space="preserve">Data Type (Int, Float, …)</w:t>
      </w:r>
    </w:p>
    <w:p>
      <w:pPr>
        <w:pStyle w:val="Compact"/>
        <w:numPr>
          <w:ilvl w:val="0"/>
          <w:numId w:val="1081"/>
        </w:numPr>
      </w:pPr>
      <w:r>
        <w:t xml:space="preserve">Bits per Sample</w:t>
      </w:r>
    </w:p>
    <w:p>
      <w:pPr>
        <w:pStyle w:val="Compact"/>
        <w:numPr>
          <w:ilvl w:val="0"/>
          <w:numId w:val="1081"/>
        </w:numPr>
      </w:pPr>
      <w:r>
        <w:t xml:space="preserve">Byte Order</w:t>
      </w:r>
    </w:p>
    <w:bookmarkEnd w:id="183"/>
    <w:bookmarkStart w:id="184" w:name="assessment-36"/>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184"/>
    <w:bookmarkEnd w:id="185"/>
    <w:bookmarkStart w:id="189" w:name="sec:pxl.per-pixel-acquisition-id"/>
    <w:p>
      <w:pPr>
        <w:pStyle w:val="berschrift4"/>
      </w:pPr>
      <w:r>
        <w:rPr>
          <w:rStyle w:val="VerbatimChar"/>
        </w:rPr>
        <w:t xml:space="preserve">4.8.</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6"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3"/>
        </w:numPr>
      </w:pPr>
      <w:r>
        <w:t xml:space="preserve">Sample type (Day, Time, ID)</w:t>
      </w:r>
    </w:p>
    <w:p>
      <w:pPr>
        <w:pStyle w:val="Compact"/>
        <w:numPr>
          <w:ilvl w:val="0"/>
          <w:numId w:val="1083"/>
        </w:numPr>
      </w:pPr>
      <w:r>
        <w:t xml:space="preserve">Data Format (GeoTIFF, HDF5, NetCDF, …)</w:t>
      </w:r>
    </w:p>
    <w:p>
      <w:pPr>
        <w:pStyle w:val="Compact"/>
        <w:numPr>
          <w:ilvl w:val="0"/>
          <w:numId w:val="1083"/>
        </w:numPr>
      </w:pPr>
      <w:r>
        <w:t xml:space="preserve">Data Type (Int, Float, …)</w:t>
      </w:r>
    </w:p>
    <w:p>
      <w:pPr>
        <w:pStyle w:val="Compact"/>
        <w:numPr>
          <w:ilvl w:val="0"/>
          <w:numId w:val="1083"/>
        </w:numPr>
      </w:pPr>
      <w:r>
        <w:t xml:space="preserve">Bits per sample</w:t>
      </w:r>
    </w:p>
    <w:p>
      <w:pPr>
        <w:pStyle w:val="Compact"/>
        <w:numPr>
          <w:ilvl w:val="0"/>
          <w:numId w:val="1083"/>
        </w:numPr>
      </w:pPr>
      <w:r>
        <w:t xml:space="preserve">Byte Order</w:t>
      </w:r>
    </w:p>
    <w:bookmarkEnd w:id="186"/>
    <w:bookmarkStart w:id="187" w:name="goal-requirements-37"/>
    <w:p>
      <w:pPr>
        <w:pStyle w:val="berschrift5"/>
      </w:pPr>
      <w:r>
        <w:t xml:space="preserve">Goal requirements:</w:t>
      </w:r>
    </w:p>
    <w:p>
      <w:pPr>
        <w:pStyle w:val="FirstParagraph"/>
      </w:pPr>
      <w:r>
        <w:t xml:space="preserve">In case of image composites, the sources for each pixel are uniquely identified.</w:t>
      </w:r>
    </w:p>
    <w:bookmarkEnd w:id="187"/>
    <w:bookmarkStart w:id="188" w:name="assessment-37"/>
    <w:p>
      <w:pPr>
        <w:pStyle w:val="berschrift5"/>
      </w:pPr>
      <w:r>
        <w:t xml:space="preserve">Assessment:</w:t>
      </w:r>
    </w:p>
    <w:p>
      <w:pPr>
        <w:pStyle w:val="Compact"/>
        <w:numPr>
          <w:ilvl w:val="0"/>
          <w:numId w:val="1084"/>
        </w:numPr>
      </w:pPr>
      <w:r>
        <w:t xml:space="preserve">Threshold Self-Assessment:</w:t>
      </w:r>
    </w:p>
    <w:p>
      <w:pPr>
        <w:pStyle w:val="Compact"/>
        <w:numPr>
          <w:ilvl w:val="0"/>
          <w:numId w:val="1084"/>
        </w:numPr>
      </w:pPr>
      <w:r>
        <w:t xml:space="preserve">Goal Self-Assessment:</w:t>
      </w:r>
    </w:p>
    <w:p>
      <w:pPr>
        <w:pStyle w:val="Compact"/>
        <w:numPr>
          <w:ilvl w:val="0"/>
          <w:numId w:val="1084"/>
        </w:numPr>
      </w:pPr>
      <w:r>
        <w:t xml:space="preserve">Self-Assessment Explanation/ Justification:</w:t>
      </w:r>
    </w:p>
    <w:p>
      <w:pPr>
        <w:pStyle w:val="Compact"/>
        <w:numPr>
          <w:ilvl w:val="0"/>
          <w:numId w:val="1084"/>
        </w:numPr>
      </w:pPr>
      <w:r>
        <w:t xml:space="preserve">Recommended Requirement Modification:</w:t>
      </w:r>
    </w:p>
    <w:p>
      <w:r>
        <w:pict>
          <v:rect style="width:0;height:1.5pt" o:hralign="center" o:hrstd="t" o:hr="t"/>
        </w:pict>
      </w:r>
    </w:p>
    <w:bookmarkEnd w:id="188"/>
    <w:bookmarkEnd w:id="189"/>
    <w:bookmarkStart w:id="193" w:name="sec:pxl.per-pixel-geoid"/>
    <w:p>
      <w:pPr>
        <w:pStyle w:val="berschrift4"/>
      </w:pPr>
      <w:r>
        <w:rPr>
          <w:rStyle w:val="VerbatimChar"/>
        </w:rPr>
        <w:t xml:space="preserve">4.9.</w:t>
      </w:r>
      <w:r>
        <w:t xml:space="preserve"> </w:t>
      </w:r>
      <w:r>
        <w:t xml:space="preserve">Per-Pixel Metadata: Geoid</w:t>
      </w:r>
    </w:p>
    <w:p>
      <w:pPr>
        <w:pStyle w:val="FirstParagraph"/>
      </w:pPr>
      <w:r>
        <w:t xml:space="preserve">Identifier:</w:t>
      </w:r>
      <w:r>
        <w:t xml:space="preserve"> </w:t>
      </w:r>
      <w:r>
        <w:rPr>
          <w:rStyle w:val="VerbatimChar"/>
        </w:rPr>
        <w:t xml:space="preserve">pxl.per-pixel-geoid</w:t>
      </w:r>
    </w:p>
    <w:bookmarkStart w:id="190" w:name="threshold-requirements-38"/>
    <w:p>
      <w:pPr>
        <w:pStyle w:val="berschrift5"/>
      </w:pPr>
      <w:r>
        <w:t xml:space="preserve">Threshold requirements:</w:t>
      </w:r>
    </w:p>
    <w:p>
      <w:pPr>
        <w:pStyle w:val="FirstParagraph"/>
      </w:pPr>
      <w:r>
        <w:rPr>
          <w:i/>
          <w:iCs/>
        </w:rPr>
        <w:t xml:space="preserve">None</w:t>
      </w:r>
    </w:p>
    <w:bookmarkEnd w:id="190"/>
    <w:bookmarkStart w:id="191" w:name="goal-requirements-38"/>
    <w:p>
      <w:pPr>
        <w:pStyle w:val="berschrift5"/>
      </w:pPr>
      <w:r>
        <w:t xml:space="preserve">Goal requirements:</w:t>
      </w:r>
    </w:p>
    <w:p>
      <w:pPr>
        <w:pStyle w:val="FirstParagraph"/>
      </w:pPr>
      <w:r>
        <w:t xml:space="preserve">Provide Geoid as used during the geometric and radiometric processing of the SAR data, resampled to an exact geometric match in extent and resolution with the image product.</w:t>
      </w:r>
    </w:p>
    <w:p>
      <w:pPr>
        <w:pStyle w:val="Textkrper"/>
      </w:pPr>
      <w:r>
        <w:t xml:space="preserve">File format specifications/contents provided in metadata:</w:t>
      </w:r>
    </w:p>
    <w:p>
      <w:pPr>
        <w:pStyle w:val="Compact"/>
        <w:numPr>
          <w:ilvl w:val="0"/>
          <w:numId w:val="1085"/>
        </w:numPr>
      </w:pPr>
      <w:r>
        <w:t xml:space="preserve">Sample Type (Height)</w:t>
      </w:r>
    </w:p>
    <w:p>
      <w:pPr>
        <w:pStyle w:val="Compact"/>
        <w:numPr>
          <w:ilvl w:val="0"/>
          <w:numId w:val="1085"/>
        </w:numPr>
      </w:pPr>
      <w:r>
        <w:t xml:space="preserve">Data Format (GeoTIFF, HDF5, NetCDF, …)</w:t>
      </w:r>
    </w:p>
    <w:p>
      <w:pPr>
        <w:pStyle w:val="Compact"/>
        <w:numPr>
          <w:ilvl w:val="0"/>
          <w:numId w:val="1085"/>
        </w:numPr>
      </w:pPr>
      <w:r>
        <w:t xml:space="preserve">Data Type (Int, Float, …)</w:t>
      </w:r>
    </w:p>
    <w:p>
      <w:pPr>
        <w:pStyle w:val="Compact"/>
        <w:numPr>
          <w:ilvl w:val="0"/>
          <w:numId w:val="1085"/>
        </w:numPr>
      </w:pPr>
      <w:r>
        <w:t xml:space="preserve">Bits per Sample</w:t>
      </w:r>
    </w:p>
    <w:p>
      <w:pPr>
        <w:pStyle w:val="Compact"/>
        <w:numPr>
          <w:ilvl w:val="0"/>
          <w:numId w:val="1085"/>
        </w:numPr>
      </w:pPr>
      <w:r>
        <w:t xml:space="preserve">Byte Order</w:t>
      </w:r>
    </w:p>
    <w:p>
      <w:pPr>
        <w:pStyle w:val="Compact"/>
        <w:numPr>
          <w:ilvl w:val="0"/>
          <w:numId w:val="1085"/>
        </w:numPr>
      </w:pPr>
      <w:r>
        <w:t xml:space="preserve">Ground Sampling Distance</w:t>
      </w:r>
    </w:p>
    <w:bookmarkEnd w:id="191"/>
    <w:bookmarkStart w:id="192" w:name="assessment-38"/>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192"/>
    <w:bookmarkEnd w:id="193"/>
    <w:bookmarkStart w:id="197" w:name="sec:pxl.per-pixel-look-direction"/>
    <w:p>
      <w:pPr>
        <w:pStyle w:val="berschrift4"/>
      </w:pPr>
      <w:r>
        <w:rPr>
          <w:rStyle w:val="VerbatimChar"/>
        </w:rPr>
        <w:t xml:space="preserve">4.10.</w:t>
      </w:r>
      <w:r>
        <w:t xml:space="preserve"> </w:t>
      </w:r>
      <w:r>
        <w:t xml:space="preserve">Per-Pixel Metadata: Look Direction Image</w:t>
      </w:r>
    </w:p>
    <w:p>
      <w:pPr>
        <w:pStyle w:val="FirstParagraph"/>
      </w:pPr>
      <w:r>
        <w:t xml:space="preserve">Identifier:</w:t>
      </w:r>
      <w:r>
        <w:t xml:space="preserve"> </w:t>
      </w:r>
      <w:r>
        <w:rPr>
          <w:rStyle w:val="VerbatimChar"/>
        </w:rPr>
        <w:t xml:space="preserve">pxl.per-pixel-look-direction</w:t>
      </w:r>
    </w:p>
    <w:bookmarkStart w:id="194" w:name="threshold-requirements-39"/>
    <w:p>
      <w:pPr>
        <w:pStyle w:val="berschrift5"/>
      </w:pPr>
      <w:r>
        <w:t xml:space="preserve">Threshold requirements:</w:t>
      </w:r>
    </w:p>
    <w:p>
      <w:pPr>
        <w:pStyle w:val="FirstParagraph"/>
      </w:pPr>
      <w:r>
        <w:rPr>
          <w:i/>
          <w:iCs/>
        </w:rPr>
        <w:t xml:space="preserve">None</w:t>
      </w:r>
    </w:p>
    <w:bookmarkEnd w:id="194"/>
    <w:bookmarkStart w:id="195" w:name="goal-requirements-39"/>
    <w:p>
      <w:pPr>
        <w:pStyle w:val="berschrift5"/>
      </w:pPr>
      <w:r>
        <w:t xml:space="preserve">Goal requirements:</w:t>
      </w:r>
    </w:p>
    <w:p>
      <w:pPr>
        <w:pStyle w:val="FirstParagraph"/>
      </w:pPr>
      <w:r>
        <w:t xml:space="preserve">Look Direction Image is provided.</w:t>
      </w:r>
      <w:r>
        <w:t xml:space="preserve"> </w:t>
      </w:r>
      <w:r>
        <w:t xml:space="preserve">It represents the planar angle between north and each range direction.</w:t>
      </w:r>
    </w:p>
    <w:p>
      <w:pPr>
        <w:pStyle w:val="Textkrper"/>
      </w:pPr>
      <w:r>
        <w:t xml:space="preserve">File format specifications/contents provided in metadata:</w:t>
      </w:r>
    </w:p>
    <w:p>
      <w:pPr>
        <w:pStyle w:val="Compact"/>
        <w:numPr>
          <w:ilvl w:val="0"/>
          <w:numId w:val="1087"/>
        </w:numPr>
      </w:pPr>
      <w:r>
        <w:t xml:space="preserve">Sample Type (Angle)</w:t>
      </w:r>
    </w:p>
    <w:p>
      <w:pPr>
        <w:pStyle w:val="Compact"/>
        <w:numPr>
          <w:ilvl w:val="0"/>
          <w:numId w:val="1087"/>
        </w:numPr>
      </w:pPr>
      <w:r>
        <w:t xml:space="preserve">Data Format (GeoTIFF, HDF5, NetCDF, …)</w:t>
      </w:r>
    </w:p>
    <w:p>
      <w:pPr>
        <w:pStyle w:val="Compact"/>
        <w:numPr>
          <w:ilvl w:val="0"/>
          <w:numId w:val="1087"/>
        </w:numPr>
      </w:pPr>
      <w:r>
        <w:t xml:space="preserve">Data Type (Int, Float, …)</w:t>
      </w:r>
    </w:p>
    <w:p>
      <w:pPr>
        <w:pStyle w:val="Compact"/>
        <w:numPr>
          <w:ilvl w:val="0"/>
          <w:numId w:val="1087"/>
        </w:numPr>
      </w:pPr>
      <w:r>
        <w:t xml:space="preserve">Bits per Sample</w:t>
      </w:r>
    </w:p>
    <w:p>
      <w:pPr>
        <w:pStyle w:val="Compact"/>
        <w:numPr>
          <w:ilvl w:val="0"/>
          <w:numId w:val="1087"/>
        </w:numPr>
      </w:pPr>
      <w:r>
        <w:t xml:space="preserve">Byte Order</w:t>
      </w:r>
    </w:p>
    <w:bookmarkEnd w:id="195"/>
    <w:bookmarkStart w:id="196" w:name="assessment-39"/>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bookmarkEnd w:id="196"/>
    <w:bookmarkEnd w:id="197"/>
    <w:bookmarkEnd w:id="198"/>
    <w:bookmarkStart w:id="223"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2"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9" w:name="threshold-requirements-40"/>
    <w:p>
      <w:pPr>
        <w:pStyle w:val="berschrift5"/>
      </w:pPr>
      <w:r>
        <w:t xml:space="preserve">Threshold requirements:</w:t>
      </w:r>
    </w:p>
    <w:p>
      <w:pPr>
        <w:pStyle w:val="FirstParagraph"/>
      </w:pPr>
      <w:r>
        <w:rPr>
          <w:i/>
          <w:iCs/>
        </w:rPr>
        <w:t xml:space="preserve">None</w:t>
      </w:r>
    </w:p>
    <w:bookmarkEnd w:id="199"/>
    <w:bookmarkStart w:id="200" w:name="goal-requirements-40"/>
    <w:p>
      <w:pPr>
        <w:pStyle w:val="berschrift5"/>
      </w:pPr>
      <w:r>
        <w:t xml:space="preserve">Goal requirements:</w:t>
      </w:r>
    </w:p>
    <w:p>
      <w:pPr>
        <w:pStyle w:val="FirstParagraph"/>
      </w:pPr>
      <w:r>
        <w:t xml:space="preserve">All files are provided using cloud-optimized file formats.</w:t>
      </w:r>
    </w:p>
    <w:bookmarkEnd w:id="200"/>
    <w:bookmarkStart w:id="201" w:name="assessment-40"/>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1"/>
    <w:bookmarkEnd w:id="202"/>
    <w:bookmarkStart w:id="206" w:name="sec:rcm.measurements-backscatter-orb"/>
    <w:p>
      <w:pPr>
        <w:pStyle w:val="berschrift4"/>
      </w:pPr>
      <w:r>
        <w:rPr>
          <w:rStyle w:val="VerbatimChar"/>
        </w:rPr>
        <w:t xml:space="preserve">5.2.</w:t>
      </w:r>
      <w:r>
        <w:t xml:space="preserve"> </w:t>
      </w:r>
      <w:r>
        <w:t xml:space="preserve">Radiometrically Corrected Measurements: Backscatter Measurements [ORB]</w:t>
      </w:r>
    </w:p>
    <w:p>
      <w:pPr>
        <w:pStyle w:val="FirstParagraph"/>
      </w:pPr>
      <w:r>
        <w:t xml:space="preserve">Identifier:</w:t>
      </w:r>
      <w:r>
        <w:t xml:space="preserve"> </w:t>
      </w:r>
      <w:r>
        <w:rPr>
          <w:rStyle w:val="VerbatimChar"/>
        </w:rPr>
        <w:t xml:space="preserve">rcm.measurements-backscatter-orb</w:t>
      </w:r>
    </w:p>
    <w:bookmarkStart w:id="203" w:name="threshold-requirements-41"/>
    <w:p>
      <w:pPr>
        <w:pStyle w:val="berschrift5"/>
      </w:pPr>
      <w:r>
        <w:t xml:space="preserve">Threshold requirements:</w:t>
      </w:r>
    </w:p>
    <w:p>
      <w:pPr>
        <w:pStyle w:val="FirstParagraph"/>
      </w:pPr>
      <w:r>
        <w:t xml:space="preserve">Geoid-corrected Sigma-Nought backscatter coefficient (</w:t>
      </w:r>
      <m:oMath>
        <m:sSup>
          <m:e>
            <m:r>
              <m:t>σ</m:t>
            </m:r>
          </m:e>
          <m:sup>
            <m:r>
              <m:t>0</m:t>
            </m:r>
          </m:sup>
        </m:sSup>
      </m:oMath>
      <w:r>
        <w:t xml:space="preserve">) is provided for each polarization.</w:t>
      </w:r>
    </w:p>
    <w:p>
      <w:pPr>
        <w:pStyle w:val="Textkrper"/>
      </w:pPr>
      <w:r>
        <w:t xml:space="preserve">File format specifications/contents provided in metadata:</w:t>
      </w:r>
    </w:p>
    <w:p>
      <w:pPr>
        <w:pStyle w:val="Compact"/>
        <w:numPr>
          <w:ilvl w:val="0"/>
          <w:numId w:val="1090"/>
        </w:numPr>
      </w:pPr>
      <w:r>
        <w:t xml:space="preserve">Measurement Type (Sigma-Nought)</w:t>
      </w:r>
    </w:p>
    <w:p>
      <w:pPr>
        <w:pStyle w:val="Compact"/>
        <w:numPr>
          <w:ilvl w:val="0"/>
          <w:numId w:val="1090"/>
        </w:numPr>
      </w:pPr>
      <w:r>
        <w:t xml:space="preserve">Backscatter Expression Convention (linear amplitude, linear power*)</w:t>
      </w:r>
    </w:p>
    <w:p>
      <w:pPr>
        <w:pStyle w:val="Compact"/>
        <w:numPr>
          <w:ilvl w:val="0"/>
          <w:numId w:val="1090"/>
        </w:numPr>
      </w:pPr>
      <w:r>
        <w:t xml:space="preserve">Backscatter Conversion Equation</w:t>
      </w:r>
    </w:p>
    <w:p>
      <w:pPr>
        <w:pStyle w:val="Compact"/>
        <w:numPr>
          <w:ilvl w:val="0"/>
          <w:numId w:val="1090"/>
        </w:numPr>
      </w:pPr>
      <w:r>
        <w:t xml:space="preserve">Polarization (HH, HV, VV, VH)</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p>
      <w:pPr>
        <w:pStyle w:val="FirstParagraph"/>
      </w:pPr>
      <w:r>
        <w:t xml:space="preserve">Notes:</w:t>
      </w:r>
    </w:p>
    <w:p>
      <w:pPr>
        <w:pStyle w:val="Compact"/>
        <w:numPr>
          <w:ilvl w:val="0"/>
          <w:numId w:val="1091"/>
        </w:numPr>
      </w:pPr>
      <w:r>
        <w:t xml:space="preserve">Transformation to the logarithm decibel scale is not required or desired as this step can be completed by the user if necessary.</w:t>
      </w:r>
    </w:p>
    <w:bookmarkEnd w:id="203"/>
    <w:bookmarkStart w:id="204" w:name="goal-requirements-41"/>
    <w:p>
      <w:pPr>
        <w:pStyle w:val="berschrift5"/>
      </w:pPr>
      <w:r>
        <w:t xml:space="preserve">Goal requirements:</w:t>
      </w:r>
    </w:p>
    <w:p>
      <w:pPr>
        <w:pStyle w:val="FirstParagraph"/>
      </w:pPr>
      <w:r>
        <w:rPr>
          <w:i/>
          <w:iCs/>
        </w:rPr>
        <w:t xml:space="preserve">None</w:t>
      </w:r>
    </w:p>
    <w:bookmarkEnd w:id="204"/>
    <w:bookmarkStart w:id="205" w:name="assessment-41"/>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5"/>
    <w:bookmarkEnd w:id="206"/>
    <w:bookmarkStart w:id="210"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7"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7"/>
    <w:bookmarkStart w:id="208" w:name="goal-requirements-42"/>
    <w:p>
      <w:pPr>
        <w:pStyle w:val="berschrift5"/>
      </w:pPr>
      <w:r>
        <w:t xml:space="preserve">Goal requirements:</w:t>
      </w:r>
    </w:p>
    <w:p>
      <w:pPr>
        <w:pStyle w:val="FirstParagraph"/>
      </w:pPr>
      <w:r>
        <w:t xml:space="preserve">Use of float32.</w:t>
      </w:r>
    </w:p>
    <w:bookmarkEnd w:id="208"/>
    <w:bookmarkStart w:id="209" w:name="assessment-42"/>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09"/>
    <w:bookmarkEnd w:id="210"/>
    <w:bookmarkStart w:id="214"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1"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4"/>
        </w:numPr>
      </w:pPr>
      <w:r>
        <w:t xml:space="preserve">Thermal noise removal and image border noise removal to remove overall scene noise and scene edge artefacts, respectively.</w:t>
      </w:r>
    </w:p>
    <w:bookmarkEnd w:id="211"/>
    <w:bookmarkStart w:id="212" w:name="goal-requirements-43"/>
    <w:p>
      <w:pPr>
        <w:pStyle w:val="berschrift5"/>
      </w:pPr>
      <w:r>
        <w:t xml:space="preserve">Goal requirements:</w:t>
      </w:r>
    </w:p>
    <w:p>
      <w:pPr>
        <w:pStyle w:val="FirstParagraph"/>
      </w:pPr>
      <w:r>
        <w:rPr>
          <w:i/>
          <w:iCs/>
        </w:rPr>
        <w:t xml:space="preserve">None</w:t>
      </w:r>
    </w:p>
    <w:bookmarkEnd w:id="212"/>
    <w:bookmarkStart w:id="213" w:name="assessment-43"/>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p>
      <w:r>
        <w:pict>
          <v:rect style="width:0;height:1.5pt" o:hralign="center" o:hrstd="t" o:hr="t"/>
        </w:pict>
      </w:r>
    </w:p>
    <w:bookmarkEnd w:id="213"/>
    <w:bookmarkEnd w:id="214"/>
    <w:bookmarkStart w:id="218" w:name="sec:rcm.metadata-radiometric-accuracy"/>
    <w:p>
      <w:pPr>
        <w:pStyle w:val="berschrift4"/>
      </w:pPr>
      <w:r>
        <w:rPr>
          <w:rStyle w:val="VerbatimChar"/>
        </w:rPr>
        <w:t xml:space="preserve">5.5.</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5" w:name="threshold-requirements-44"/>
    <w:p>
      <w:pPr>
        <w:pStyle w:val="berschrift5"/>
      </w:pPr>
      <w:r>
        <w:t xml:space="preserve">Threshold requirements:</w:t>
      </w:r>
    </w:p>
    <w:p>
      <w:pPr>
        <w:pStyle w:val="FirstParagraph"/>
      </w:pPr>
      <w:r>
        <w:rPr>
          <w:i/>
          <w:iCs/>
        </w:rPr>
        <w:t xml:space="preserve">None</w:t>
      </w:r>
    </w:p>
    <w:bookmarkEnd w:id="215"/>
    <w:bookmarkStart w:id="216" w:name="goal-requirements-44"/>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6"/>
    <w:bookmarkStart w:id="217" w:name="assessment-44"/>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17"/>
    <w:bookmarkEnd w:id="218"/>
    <w:bookmarkStart w:id="222" w:name="Xe7416a1bd9181b13a2203854607f95297614c4a"/>
    <w:p>
      <w:pPr>
        <w:pStyle w:val="berschrift4"/>
      </w:pPr>
      <w:r>
        <w:rPr>
          <w:rStyle w:val="VerbatimChar"/>
        </w:rPr>
        <w:t xml:space="preserve">5.6.</w:t>
      </w:r>
      <w:r>
        <w:t xml:space="preserve"> </w:t>
      </w:r>
      <w:r>
        <w:t xml:space="preserve">Radiometrically Corrected Measurements: Mean Wind-Normalised Backscatter Measurements</w:t>
      </w:r>
    </w:p>
    <w:p>
      <w:pPr>
        <w:pStyle w:val="FirstParagraph"/>
      </w:pPr>
      <w:r>
        <w:t xml:space="preserve">Identifier:</w:t>
      </w:r>
      <w:r>
        <w:t xml:space="preserve"> </w:t>
      </w:r>
      <w:r>
        <w:rPr>
          <w:rStyle w:val="VerbatimChar"/>
        </w:rPr>
        <w:t xml:space="preserve">rcm.measurements-mean-wind-normalised-backscatter</w:t>
      </w:r>
    </w:p>
    <w:p>
      <w:pPr>
        <w:pStyle w:val="Textkrper"/>
      </w:pPr>
      <w:r>
        <w:rPr>
          <w:b/>
          <w:bCs/>
        </w:rPr>
        <w:t xml:space="preserve">Usage:</w:t>
      </w:r>
      <w:r>
        <w:t xml:space="preserve"> </w:t>
      </w:r>
      <w:r>
        <w:t xml:space="preserve">Only for Maritime scenes.</w:t>
      </w:r>
    </w:p>
    <w:bookmarkStart w:id="219" w:name="threshold-requirements-45"/>
    <w:p>
      <w:pPr>
        <w:pStyle w:val="berschrift5"/>
      </w:pPr>
      <w:r>
        <w:t xml:space="preserve">Threshold requirements:</w:t>
      </w:r>
    </w:p>
    <w:p>
      <w:pPr>
        <w:pStyle w:val="FirstParagraph"/>
      </w:pPr>
      <w:r>
        <w:rPr>
          <w:i/>
          <w:iCs/>
        </w:rPr>
        <w:t xml:space="preserve">None</w:t>
      </w:r>
    </w:p>
    <w:bookmarkEnd w:id="219"/>
    <w:bookmarkStart w:id="220" w:name="goal-requirements-45"/>
    <w:p>
      <w:pPr>
        <w:pStyle w:val="berschrift5"/>
      </w:pPr>
      <w:r>
        <w:t xml:space="preserve">Goal requirements:</w:t>
      </w:r>
    </w:p>
    <w:p>
      <w:pPr>
        <w:pStyle w:val="FirstParagraph"/>
      </w:pPr>
      <w:r>
        <w:t xml:space="preserve">Mean wind-normalised (over ocean) backscatter coefficient is provided for each available polarization.</w:t>
      </w:r>
      <w:r>
        <w:t xml:space="preserve"> </w:t>
      </w:r>
      <w:r>
        <w:t xml:space="preserve">It is calculated as the ratio between the backscatter intensity and a simulated backscatter intensity image generated using an ocean surface wind model such as, e.g.,</w:t>
      </w:r>
      <w:r>
        <w:t xml:space="preserve"> </w:t>
      </w:r>
      <w:r>
        <w:t xml:space="preserve">(</w:t>
      </w:r>
      <w:hyperlink w:anchor="ref-quilfen1998">
        <w:r>
          <w:rPr>
            <w:rStyle w:val="Hyperlink"/>
          </w:rPr>
          <w:t xml:space="preserve">Yves et al. 1998</w:t>
        </w:r>
      </w:hyperlink>
      <w:r>
        <w:t xml:space="preserve">)</w:t>
      </w:r>
      <w:r>
        <w:t xml:space="preserve"> </w:t>
      </w:r>
      <w:r>
        <w:t xml:space="preserve">or</w:t>
      </w:r>
      <w:r>
        <w:t xml:space="preserve"> </w:t>
      </w:r>
      <w:r>
        <w:t xml:space="preserve">(</w:t>
      </w:r>
      <w:hyperlink w:anchor="ref-vachon2000">
        <w:r>
          <w:rPr>
            <w:rStyle w:val="Hyperlink"/>
          </w:rPr>
          <w:t xml:space="preserve">Vachon and Dobson 2000</w:t>
        </w:r>
      </w:hyperlink>
      <w:r>
        <w:t xml:space="preserve">)</w:t>
      </w:r>
      <w:r>
        <w:t xml:space="preserve"> </w:t>
      </w:r>
      <w:r>
        <w:t xml:space="preserve">for VV and HH polarization respectively.</w:t>
      </w:r>
    </w:p>
    <w:p>
      <w:pPr>
        <w:pStyle w:val="Textkrper"/>
      </w:pPr>
      <w:r>
        <w:t xml:space="preserve">File format specifications/contents provided in metadata:</w:t>
      </w:r>
    </w:p>
    <w:p>
      <w:pPr>
        <w:pStyle w:val="Compact"/>
        <w:numPr>
          <w:ilvl w:val="0"/>
          <w:numId w:val="1097"/>
        </w:numPr>
      </w:pPr>
      <w:r>
        <w:t xml:space="preserve">Measurement Type (Wind-Normalised Backscatter)</w:t>
      </w:r>
    </w:p>
    <w:p>
      <w:pPr>
        <w:pStyle w:val="Compact"/>
        <w:numPr>
          <w:ilvl w:val="0"/>
          <w:numId w:val="1097"/>
        </w:numPr>
      </w:pPr>
      <w:r>
        <w:t xml:space="preserve">Backscatter Expression Convention (intensity ratio)</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Reference wind model, wind speed and direction used for reference backscattering coefficient should be provided.</w:t>
      </w:r>
    </w:p>
    <w:bookmarkEnd w:id="220"/>
    <w:bookmarkStart w:id="221" w:name="assessment-45"/>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bookmarkEnd w:id="221"/>
    <w:bookmarkEnd w:id="222"/>
    <w:bookmarkEnd w:id="223"/>
    <w:bookmarkStart w:id="244"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7"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4" w:name="threshold-requirements-46"/>
    <w:p>
      <w:pPr>
        <w:pStyle w:val="berschrift5"/>
      </w:pPr>
      <w:r>
        <w:t xml:space="preserve">Threshold requirements:</w:t>
      </w:r>
    </w:p>
    <w:p>
      <w:pPr>
        <w:pStyle w:val="FirstParagraph"/>
      </w:pPr>
      <w:r>
        <w:rPr>
          <w:i/>
          <w:iCs/>
        </w:rPr>
        <w:t xml:space="preserve">None</w:t>
      </w:r>
    </w:p>
    <w:bookmarkEnd w:id="224"/>
    <w:bookmarkStart w:id="225" w:name="goal-requirements-46"/>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0"/>
        </w:numPr>
      </w:pPr>
      <w:r>
        <w:t xml:space="preserve">Examples of technical documentation can include e.g., an Algorithm Theoretical Basis Document (ATBD) or a product user guide.</w:t>
      </w:r>
    </w:p>
    <w:bookmarkEnd w:id="225"/>
    <w:bookmarkStart w:id="226" w:name="assessment-46"/>
    <w:p>
      <w:pPr>
        <w:pStyle w:val="berschrift5"/>
      </w:pPr>
      <w:r>
        <w:t xml:space="preserve">Assessment:</w:t>
      </w:r>
    </w:p>
    <w:p>
      <w:pPr>
        <w:pStyle w:val="Compact"/>
        <w:numPr>
          <w:ilvl w:val="0"/>
          <w:numId w:val="1101"/>
        </w:numPr>
      </w:pPr>
      <w:r>
        <w:t xml:space="preserve">Threshold Self-Assessment:</w:t>
      </w:r>
    </w:p>
    <w:p>
      <w:pPr>
        <w:pStyle w:val="Compact"/>
        <w:numPr>
          <w:ilvl w:val="0"/>
          <w:numId w:val="1101"/>
        </w:numPr>
      </w:pPr>
      <w:r>
        <w:t xml:space="preserve">Goal Self-Assessment:</w:t>
      </w:r>
    </w:p>
    <w:p>
      <w:pPr>
        <w:pStyle w:val="Compact"/>
        <w:numPr>
          <w:ilvl w:val="0"/>
          <w:numId w:val="1101"/>
        </w:numPr>
      </w:pPr>
      <w:r>
        <w:t xml:space="preserve">Self-Assessment Explanation/ Justification:</w:t>
      </w:r>
    </w:p>
    <w:p>
      <w:pPr>
        <w:pStyle w:val="Compact"/>
        <w:numPr>
          <w:ilvl w:val="0"/>
          <w:numId w:val="1101"/>
        </w:numPr>
      </w:pPr>
      <w:r>
        <w:t xml:space="preserve">Recommended Requirement Modification:</w:t>
      </w:r>
    </w:p>
    <w:p>
      <w:r>
        <w:pict>
          <v:rect style="width:0;height:1.5pt" o:hralign="center" o:hrstd="t" o:hr="t"/>
        </w:pict>
      </w:r>
    </w:p>
    <w:bookmarkEnd w:id="226"/>
    <w:bookmarkEnd w:id="227"/>
    <w:bookmarkStart w:id="231"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8" w:name="threshold-requirements-47"/>
    <w:p>
      <w:pPr>
        <w:pStyle w:val="berschrift5"/>
      </w:pPr>
      <w:r>
        <w:t xml:space="preserve">Threshold requirements:</w:t>
      </w:r>
    </w:p>
    <w:p>
      <w:pPr>
        <w:pStyle w:val="Compact"/>
        <w:numPr>
          <w:ilvl w:val="0"/>
          <w:numId w:val="1102"/>
        </w:numPr>
      </w:pPr>
      <w:r>
        <w:t xml:space="preserve">During ortho-rectification, the data provider shall use the same DEM that was used for the radiometric terrain flattening to ensure consistency of the data stack.</w:t>
      </w:r>
    </w:p>
    <w:p>
      <w:pPr>
        <w:pStyle w:val="Compact"/>
        <w:numPr>
          <w:ilvl w:val="0"/>
          <w:numId w:val="1102"/>
        </w:numPr>
      </w:pPr>
      <w:r>
        <w:t xml:space="preserve">Provide reference to Digital Elevation Model used for geometric terrain correction.</w:t>
      </w:r>
    </w:p>
    <w:p>
      <w:pPr>
        <w:pStyle w:val="Compact"/>
        <w:numPr>
          <w:ilvl w:val="0"/>
          <w:numId w:val="1102"/>
        </w:numPr>
      </w:pPr>
      <w:r>
        <w:t xml:space="preserve">Provide reference to Earth Gravitational Model (EGM) used for geometric correction.</w:t>
      </w:r>
    </w:p>
    <w:bookmarkEnd w:id="228"/>
    <w:bookmarkStart w:id="229" w:name="goal-requirements-47"/>
    <w:p>
      <w:pPr>
        <w:pStyle w:val="berschrift5"/>
      </w:pPr>
      <w:r>
        <w:t xml:space="preserve">Goal requirements:</w:t>
      </w:r>
    </w:p>
    <w:p>
      <w:pPr>
        <w:pStyle w:val="Compact"/>
        <w:numPr>
          <w:ilvl w:val="0"/>
          <w:numId w:val="1103"/>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3"/>
        </w:numPr>
      </w:pPr>
      <w:r>
        <w:t xml:space="preserve">Resampling method used for preparation of the DEM.</w:t>
      </w:r>
    </w:p>
    <w:p>
      <w:pPr>
        <w:pStyle w:val="Compact"/>
        <w:numPr>
          <w:ilvl w:val="0"/>
          <w:numId w:val="1103"/>
        </w:numPr>
      </w:pPr>
      <w:r>
        <w:t xml:space="preserve">Method used for resampling the EGM.</w:t>
      </w:r>
    </w:p>
    <w:bookmarkEnd w:id="229"/>
    <w:bookmarkStart w:id="230" w:name="assessment-47"/>
    <w:p>
      <w:pPr>
        <w:pStyle w:val="berschrift5"/>
      </w:pPr>
      <w:r>
        <w:t xml:space="preserve">Assessment:</w:t>
      </w:r>
    </w:p>
    <w:p>
      <w:pPr>
        <w:pStyle w:val="Compact"/>
        <w:numPr>
          <w:ilvl w:val="0"/>
          <w:numId w:val="1104"/>
        </w:numPr>
      </w:pPr>
      <w:r>
        <w:t xml:space="preserve">Threshold Self-Assessment:</w:t>
      </w:r>
    </w:p>
    <w:p>
      <w:pPr>
        <w:pStyle w:val="Compact"/>
        <w:numPr>
          <w:ilvl w:val="0"/>
          <w:numId w:val="1104"/>
        </w:numPr>
      </w:pPr>
      <w:r>
        <w:t xml:space="preserve">Goal Self-Assessment:</w:t>
      </w:r>
    </w:p>
    <w:p>
      <w:pPr>
        <w:pStyle w:val="Compact"/>
        <w:numPr>
          <w:ilvl w:val="0"/>
          <w:numId w:val="1104"/>
        </w:numPr>
      </w:pPr>
      <w:r>
        <w:t xml:space="preserve">Self-Assessment Explanation/ Justification:</w:t>
      </w:r>
    </w:p>
    <w:p>
      <w:pPr>
        <w:pStyle w:val="Compact"/>
        <w:numPr>
          <w:ilvl w:val="0"/>
          <w:numId w:val="1104"/>
        </w:numPr>
      </w:pPr>
      <w:r>
        <w:t xml:space="preserve">Recommended Requirement Modification:</w:t>
      </w:r>
    </w:p>
    <w:p>
      <w:r>
        <w:pict>
          <v:rect style="width:0;height:1.5pt" o:hralign="center" o:hrstd="t" o:hr="t"/>
        </w:pict>
      </w:r>
    </w:p>
    <w:bookmarkEnd w:id="230"/>
    <w:bookmarkEnd w:id="231"/>
    <w:bookmarkStart w:id="235"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2" w:name="threshold-requirements-48"/>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5"/>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5"/>
        </w:numPr>
      </w:pPr>
      <w:r>
        <w:t xml:space="preserve">The ALE is not typically assessed for every processed image, but through an ALE assessment by the data processing team characterizing all or (usually a subset) of the generated products.</w:t>
      </w:r>
    </w:p>
    <w:bookmarkEnd w:id="232"/>
    <w:bookmarkStart w:id="233" w:name="goal-requirements-48"/>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3"/>
    <w:bookmarkStart w:id="234" w:name="assessment-48"/>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p>
      <w:r>
        <w:pict>
          <v:rect style="width:0;height:1.5pt" o:hralign="center" o:hrstd="t" o:hr="t"/>
        </w:pict>
      </w:r>
    </w:p>
    <w:bookmarkEnd w:id="234"/>
    <w:bookmarkEnd w:id="235"/>
    <w:bookmarkStart w:id="239"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6" w:name="threshold-requirements-49"/>
    <w:p>
      <w:pPr>
        <w:pStyle w:val="berschrift5"/>
      </w:pPr>
      <w:r>
        <w:t xml:space="preserve">Threshold requirements:</w:t>
      </w:r>
    </w:p>
    <w:p>
      <w:pPr>
        <w:pStyle w:val="FirstParagraph"/>
      </w:pPr>
      <w:r>
        <w:rPr>
          <w:i/>
          <w:iCs/>
        </w:rPr>
        <w:t xml:space="preserve">None</w:t>
      </w:r>
    </w:p>
    <w:bookmarkEnd w:id="236"/>
    <w:bookmarkStart w:id="237" w:name="goal-requirements-49"/>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7"/>
    <w:bookmarkStart w:id="238"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8"/>
    <w:bookmarkEnd w:id="239"/>
    <w:bookmarkStart w:id="243"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0" w:name="threshold-requirements-50"/>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8"/>
        </w:numPr>
      </w:pPr>
      <w:r>
        <w:t xml:space="preserve">If a product hierarchy of resolutions exists (or is planned), the multiple resolutions should nest within each other (e.g., 12.5m, 25m, 50m, 100m, etc.), and not be disjoint.</w:t>
      </w:r>
    </w:p>
    <w:bookmarkEnd w:id="240"/>
    <w:bookmarkStart w:id="241" w:name="goal-requirements-50"/>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1"/>
    <w:bookmarkStart w:id="242" w:name="assessment-50"/>
    <w:p>
      <w:pPr>
        <w:pStyle w:val="berschrift5"/>
      </w:pPr>
      <w:r>
        <w:t xml:space="preserve">Assessment:</w:t>
      </w:r>
    </w:p>
    <w:p>
      <w:pPr>
        <w:pStyle w:val="Compact"/>
        <w:numPr>
          <w:ilvl w:val="0"/>
          <w:numId w:val="1109"/>
        </w:numPr>
      </w:pPr>
      <w:r>
        <w:t xml:space="preserve">Threshold Self-Assessment:</w:t>
      </w:r>
    </w:p>
    <w:p>
      <w:pPr>
        <w:pStyle w:val="Compact"/>
        <w:numPr>
          <w:ilvl w:val="0"/>
          <w:numId w:val="1109"/>
        </w:numPr>
      </w:pPr>
      <w:r>
        <w:t xml:space="preserve">Goal Self-Assessment:</w:t>
      </w:r>
    </w:p>
    <w:p>
      <w:pPr>
        <w:pStyle w:val="Compact"/>
        <w:numPr>
          <w:ilvl w:val="0"/>
          <w:numId w:val="1109"/>
        </w:numPr>
      </w:pPr>
      <w:r>
        <w:t xml:space="preserve">Self-Assessment Explanation/ Justification:</w:t>
      </w:r>
    </w:p>
    <w:p>
      <w:pPr>
        <w:pStyle w:val="Compact"/>
        <w:numPr>
          <w:ilvl w:val="0"/>
          <w:numId w:val="1109"/>
        </w:numPr>
      </w:pPr>
      <w:r>
        <w:t xml:space="preserve">Recommended Requirement Modification:</w:t>
      </w:r>
    </w:p>
    <w:p>
      <w:r>
        <w:br w:type="page"/>
      </w:r>
    </w:p>
    <w:bookmarkEnd w:id="242"/>
    <w:bookmarkEnd w:id="243"/>
    <w:bookmarkEnd w:id="244"/>
    <w:bookmarkEnd w:id="245"/>
    <w:bookmarkStart w:id="252" w:name="summary-self-assessment-table"/>
    <w:p>
      <w:pPr>
        <w:pStyle w:val="berschrift2"/>
      </w:pPr>
      <w:r>
        <w:t xml:space="preserve">Summary Self-Assessment Table</w:t>
      </w:r>
    </w:p>
    <w:bookmarkStart w:id="246"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6"/>
    <w:bookmarkStart w:id="247"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7"/>
    <w:bookmarkStart w:id="248"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prd.metadata-look-direction-polynomials</w:t>
            </w:r>
          </w:p>
        </w:tc>
        <w:tc>
          <w:tcPr/>
          <w:p>
            <w:pPr>
              <w:pStyle w:val="Compact"/>
            </w:pPr>
            <w:r>
              <w:t xml:space="preserve">Look Direction Polynomials</w:t>
            </w:r>
          </w:p>
        </w:tc>
        <w:tc>
          <w:tcPr/>
          <w:p>
            <w:pPr>
              <w:pStyle w:val="Compact"/>
            </w:pPr>
          </w:p>
        </w:tc>
        <w:tc>
          <w:tcPr/>
          <w:p>
            <w:pPr>
              <w:pStyle w:val="Compact"/>
              <w:jc w:val="center"/>
            </w:pPr>
            <w:r>
              <w:rPr>
                <w:i/>
                <w:iCs/>
              </w:rPr>
              <w:t xml:space="preserve">as threshold</w:t>
            </w:r>
          </w:p>
        </w:tc>
      </w:tr>
    </w:tbl>
    <w:bookmarkEnd w:id="248"/>
    <w:bookmarkStart w:id="249"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pxl.per-pixel-geoid</w:t>
            </w:r>
          </w:p>
        </w:tc>
        <w:tc>
          <w:tcPr/>
          <w:p>
            <w:pPr>
              <w:pStyle w:val="Compact"/>
            </w:pPr>
            <w:r>
              <w:t xml:space="preserve">Geoid</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pxl.per-pixel-look-direction</w:t>
            </w:r>
          </w:p>
        </w:tc>
        <w:tc>
          <w:tcPr/>
          <w:p>
            <w:pPr>
              <w:pStyle w:val="Compact"/>
            </w:pPr>
            <w:r>
              <w:t xml:space="preserve">Look Direction Image</w:t>
            </w:r>
          </w:p>
        </w:tc>
        <w:tc>
          <w:tcPr/>
          <w:p>
            <w:pPr>
              <w:pStyle w:val="Compact"/>
              <w:jc w:val="center"/>
            </w:pPr>
            <w:r>
              <w:rPr>
                <w:i/>
                <w:iCs/>
              </w:rPr>
              <w:t xml:space="preserve">not required</w:t>
            </w:r>
          </w:p>
        </w:tc>
        <w:tc>
          <w:tcPr/>
          <w:p>
            <w:pPr>
              <w:pStyle w:val="Compact"/>
            </w:pPr>
          </w:p>
        </w:tc>
      </w:tr>
    </w:tbl>
    <w:bookmarkEnd w:id="249"/>
    <w:bookmarkStart w:id="250"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rcm.measurements-backscatter-orb</w:t>
            </w:r>
          </w:p>
        </w:tc>
        <w:tc>
          <w:tcPr/>
          <w:p>
            <w:pPr>
              <w:pStyle w:val="Compact"/>
            </w:pPr>
            <w:r>
              <w:t xml:space="preserve">Backscatter Measurements [ORB]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rcm.measurements-mean-wind-normalised-backscatter</w:t>
            </w:r>
          </w:p>
        </w:tc>
        <w:tc>
          <w:tcPr/>
          <w:p>
            <w:pPr>
              <w:pStyle w:val="Compact"/>
            </w:pPr>
            <w:r>
              <w:t xml:space="preserve">Mean Wind-Normalised Backscatter Measurements</w:t>
            </w:r>
          </w:p>
        </w:tc>
        <w:tc>
          <w:tcPr/>
          <w:p>
            <w:pPr>
              <w:pStyle w:val="Compact"/>
              <w:jc w:val="center"/>
            </w:pPr>
            <w:r>
              <w:rPr>
                <w:i/>
                <w:iCs/>
              </w:rPr>
              <w:t xml:space="preserve">not required</w:t>
            </w:r>
          </w:p>
        </w:tc>
        <w:tc>
          <w:tcPr/>
          <w:p>
            <w:pPr>
              <w:pStyle w:val="Compact"/>
            </w:pPr>
          </w:p>
        </w:tc>
      </w:tr>
    </w:tbl>
    <w:bookmarkEnd w:id="250"/>
    <w:bookmarkStart w:id="251"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1"/>
    <w:bookmarkEnd w:id="252"/>
    <w:bookmarkStart w:id="269" w:name="references"/>
    <w:p>
      <w:pPr>
        <w:pStyle w:val="berschrift2"/>
      </w:pPr>
      <w:r>
        <w:t xml:space="preserve">References</w:t>
      </w:r>
    </w:p>
    <w:bookmarkStart w:id="268" w:name="refs"/>
    <w:bookmarkStart w:id="253"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3"/>
    <w:bookmarkStart w:id="255"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4">
        <w:r>
          <w:rPr>
            <w:rStyle w:val="Hyperlink"/>
          </w:rPr>
          <w:t xml:space="preserve">https://doi.org/10.1109/TGRS.2008.2002881</w:t>
        </w:r>
      </w:hyperlink>
      <w:r>
        <w:t xml:space="preserve">.</w:t>
      </w:r>
    </w:p>
    <w:bookmarkEnd w:id="255"/>
    <w:bookmarkStart w:id="257"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6">
        <w:r>
          <w:rPr>
            <w:rStyle w:val="Hyperlink"/>
          </w:rPr>
          <w:t xml:space="preserve">https://doi.org/10.1109/TGRS.2022.3147472</w:t>
        </w:r>
      </w:hyperlink>
      <w:r>
        <w:t xml:space="preserve">.</w:t>
      </w:r>
    </w:p>
    <w:bookmarkEnd w:id="257"/>
    <w:bookmarkStart w:id="259"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8">
        <w:r>
          <w:rPr>
            <w:rStyle w:val="Hyperlink"/>
          </w:rPr>
          <w:t xml:space="preserve">https://doi.org/10.1109/TGRS.2011.2120616</w:t>
        </w:r>
      </w:hyperlink>
      <w:r>
        <w:t xml:space="preserve">.</w:t>
      </w:r>
    </w:p>
    <w:bookmarkEnd w:id="259"/>
    <w:bookmarkStart w:id="261" w:name="ref-vachon2000"/>
    <w:p>
      <w:pPr>
        <w:pStyle w:val="Literaturverzeichnis"/>
      </w:pPr>
      <w:r>
        <w:t xml:space="preserve">Vachon, P., and F. Dobson. 2000.</w:t>
      </w:r>
      <w:r>
        <w:t xml:space="preserve"> </w:t>
      </w:r>
      <w:r>
        <w:t xml:space="preserve">“Wind Retrieval from RADARSAT SAR Images: Selection of a Suitable c-Band HH Polarization Wind Retrieval Model.”</w:t>
      </w:r>
      <w:r>
        <w:t xml:space="preserve"> </w:t>
      </w:r>
      <w:r>
        <w:rPr>
          <w:i/>
          <w:iCs/>
        </w:rPr>
        <w:t xml:space="preserve">Can. J. Remote Sens.</w:t>
      </w:r>
      <w:r>
        <w:t xml:space="preserve"> </w:t>
      </w:r>
      <w:r>
        <w:t xml:space="preserve">26 (August): 306–13.</w:t>
      </w:r>
      <w:r>
        <w:t xml:space="preserve"> </w:t>
      </w:r>
      <w:hyperlink r:id="rId260">
        <w:r>
          <w:rPr>
            <w:rStyle w:val="Hyperlink"/>
          </w:rPr>
          <w:t xml:space="preserve">https://doi.org/10.1080/07038992.2000.10874781</w:t>
        </w:r>
      </w:hyperlink>
      <w:r>
        <w:t xml:space="preserve">.</w:t>
      </w:r>
    </w:p>
    <w:bookmarkEnd w:id="261"/>
    <w:bookmarkStart w:id="263" w:name="ref-quilfen1998"/>
    <w:p>
      <w:pPr>
        <w:pStyle w:val="Literaturverzeichnis"/>
      </w:pPr>
      <w:r>
        <w:t xml:space="preserve">Yves, Quilfen, B. Chapron, T. Elfouhaily, Kristina Katsaros, and Jean Tournadre. 1998.</w:t>
      </w:r>
      <w:r>
        <w:t xml:space="preserve"> </w:t>
      </w:r>
      <w:r>
        <w:t xml:space="preserve">“Observation of Tropical Cyclones by High-Resolution Scatterometry.”</w:t>
      </w:r>
      <w:r>
        <w:t xml:space="preserve"> </w:t>
      </w:r>
      <w:r>
        <w:rPr>
          <w:i/>
          <w:iCs/>
        </w:rPr>
        <w:t xml:space="preserve">J. Geophys. Res.</w:t>
      </w:r>
      <w:r>
        <w:t xml:space="preserve"> </w:t>
      </w:r>
      <w:r>
        <w:t xml:space="preserve">103 (April): 7, 767–67, 786.</w:t>
      </w:r>
      <w:r>
        <w:t xml:space="preserve"> </w:t>
      </w:r>
      <w:hyperlink r:id="rId262">
        <w:r>
          <w:rPr>
            <w:rStyle w:val="Hyperlink"/>
          </w:rPr>
          <w:t xml:space="preserve">https://doi.org/10.1029/97JC01911</w:t>
        </w:r>
      </w:hyperlink>
      <w:r>
        <w:t xml:space="preserve">.</w:t>
      </w:r>
    </w:p>
    <w:bookmarkEnd w:id="263"/>
    <w:bookmarkStart w:id="265"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4">
        <w:r>
          <w:rPr>
            <w:rStyle w:val="Hyperlink"/>
          </w:rPr>
          <w:t xml:space="preserve">https://doi.org/10.1109/LGRS.2017.2753580</w:t>
        </w:r>
      </w:hyperlink>
      <w:r>
        <w:t xml:space="preserve">.</w:t>
      </w:r>
    </w:p>
    <w:bookmarkEnd w:id="265"/>
    <w:bookmarkStart w:id="267"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6">
        <w:r>
          <w:rPr>
            <w:rStyle w:val="Hyperlink"/>
          </w:rPr>
          <w:t xml:space="preserve">https://doi.org/10.1109/TGRS.2010.2051333</w:t>
        </w:r>
      </w:hyperlink>
      <w:r>
        <w:t xml:space="preserve">.</w:t>
      </w:r>
    </w:p>
    <w:bookmarkEnd w:id="267"/>
    <w:bookmarkEnd w:id="268"/>
    <w:p>
      <w:r>
        <w:br w:type="page"/>
      </w:r>
    </w:p>
    <w:bookmarkEnd w:id="269"/>
    <w:bookmarkStart w:id="309" w:name="annexes"/>
    <w:p>
      <w:pPr>
        <w:pStyle w:val="berschrift2"/>
      </w:pPr>
      <w:r>
        <w:t xml:space="preserve">Annexes</w:t>
      </w:r>
    </w:p>
    <w:bookmarkStart w:id="271"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0"/>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0"/>
        </w:numPr>
      </w:pPr>
      <w:r>
        <w:t xml:space="preserve">Apply instrument calibration to produce Beta-Nought values with high fidelity.</w:t>
      </w:r>
    </w:p>
    <w:p>
      <w:pPr>
        <w:pStyle w:val="Compact"/>
        <w:numPr>
          <w:ilvl w:val="0"/>
          <w:numId w:val="1110"/>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0"/>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0"/>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0"/>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0"/>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0"/>
        </w:numPr>
      </w:pPr>
      <w:r>
        <w:t xml:space="preserve">Generate CEOS format metadata to accompany product layers.</w:t>
      </w:r>
    </w:p>
    <w:p>
      <w:pPr>
        <w:pStyle w:val="Compact"/>
        <w:numPr>
          <w:ilvl w:val="0"/>
          <w:numId w:val="1110"/>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70"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70"/>
    <w:bookmarkEnd w:id="271"/>
    <w:bookmarkStart w:id="283"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2"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2"/>
    </w:p>
    <w:p>
      <w:pPr>
        <w:pStyle w:val="FirstParagraph"/>
      </w:pPr>
      <w:r>
        <w:t xml:space="preserve">Where</w:t>
      </w:r>
    </w:p>
    <w:p>
      <w:pPr>
        <w:pStyle w:val="Textkrper"/>
      </w:pPr>
      <w:bookmarkStart w:id="273"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3"/>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1"/>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1"/>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4"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4"/>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5"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5"/>
    </w:p>
    <w:p>
      <w:pPr>
        <w:pStyle w:val="FirstParagraph"/>
      </w:pPr>
      <w:bookmarkStart w:id="276"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6"/>
    </w:p>
    <w:p>
      <w:pPr>
        <w:pStyle w:val="FirstParagraph"/>
      </w:pPr>
      <w:r>
        <w:t xml:space="preserve">The differential phase is</w:t>
      </w:r>
    </w:p>
    <w:p>
      <w:pPr>
        <w:pStyle w:val="Textkrper"/>
      </w:pPr>
      <w:bookmarkStart w:id="277"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7"/>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8"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8"/>
    </w:p>
    <w:p>
      <w:pPr>
        <w:pStyle w:val="FirstParagraph"/>
      </w:pPr>
      <w:bookmarkStart w:id="279"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9"/>
    </w:p>
    <w:p>
      <w:pPr>
        <w:pStyle w:val="FirstParagraph"/>
      </w:pPr>
      <w:bookmarkStart w:id="280"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80"/>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1"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1"/>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2"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2"/>
    </w:p>
    <w:bookmarkEnd w:id="283"/>
    <w:bookmarkStart w:id="308" w:name="sec:annex-sar-orb-example"/>
    <w:p>
      <w:pPr>
        <w:pStyle w:val="berschrift3"/>
      </w:pPr>
      <w:r>
        <w:t xml:space="preserve">Ocean Radar Backscatter example</w:t>
      </w:r>
    </w:p>
    <w:p>
      <w:pPr>
        <w:pStyle w:val="FirstParagraph"/>
      </w:pPr>
      <w:r>
        <w:t xml:space="preserve">In contrast to NRB and POL, CEOS-ARD Ocean Radar Backscatter ORB products are geoid corrected and are provided in the Sigma-Nought (σE0) backscatter convention (Figure </w:t>
      </w:r>
      <w:hyperlink w:anchor="fig:sar-orb-example-fig1a">
        <w:r>
          <w:rPr>
            <w:rStyle w:val="Hyperlink"/>
          </w:rPr>
          <w:t xml:space="preserve">1</w:t>
        </w:r>
      </w:hyperlink>
      <w:r>
        <w:t xml:space="preserve">), which is recommended for most ocean applications. In addition, availability of the</w:t>
      </w:r>
      <w:r>
        <w:t xml:space="preserve"> </w:t>
      </w:r>
      <w:r>
        <w:t xml:space="preserve">“Local (or Ellipsoidal) Incidence Angle Image”</w:t>
      </w:r>
      <w:r>
        <w:t xml:space="preserve"> </w:t>
      </w:r>
      <w:r>
        <w:t xml:space="preserve">(Figure </w:t>
      </w:r>
      <w:hyperlink w:anchor="fig:sar-orb-example-fig1d">
        <w:r>
          <w:rPr>
            <w:rStyle w:val="Hyperlink"/>
          </w:rPr>
          <w:t xml:space="preserve">4</w:t>
        </w:r>
      </w:hyperlink>
      <w:r>
        <w:t xml:space="preserve">) and</w:t>
      </w:r>
      <w:r>
        <w:t xml:space="preserve"> </w:t>
      </w:r>
      <w:r>
        <w:t xml:space="preserve">“Look Direction Image”</w:t>
      </w:r>
      <w:r>
        <w:t xml:space="preserve"> </w:t>
      </w:r>
      <w:r>
        <w:t xml:space="preserve">per-pixel metadata are highly recommended (otherwise the general metadata</w:t>
      </w:r>
      <w:r>
        <w:t xml:space="preserve"> </w:t>
      </w:r>
      <w:r>
        <w:t xml:space="preserve">“Look Direction Polynomials”</w:t>
      </w:r>
      <w:r>
        <w:t xml:space="preserve">) since they required for operational applications like ocean wind field estimates.</w:t>
      </w:r>
    </w:p>
    <w:p>
      <w:pPr>
        <w:pStyle w:val="Textkrper"/>
      </w:pPr>
      <w:r>
        <w:t xml:space="preserve">The following figures show Sentinel-1 ORB products of the Tropical Cyclone Harold passing Vanuatu on April 6, 2020:</w:t>
      </w:r>
    </w:p>
    <w:bookmarkStart w:id="287" w:name="fig:sar-orb-example-fig1a"/>
    <w:p>
      <w:pPr>
        <w:pStyle w:val="CaptionedFigure"/>
      </w:pPr>
      <w:r>
        <w:drawing>
          <wp:inline>
            <wp:extent cx="3810000" cy="2540000"/>
            <wp:effectExtent b="0" l="0" r="0" t="0"/>
            <wp:docPr descr="Figure 1: VV intensity; Processing: A. Rosenqvist (soloEO)" title="" id="285" name="Picture"/>
            <a:graphic>
              <a:graphicData uri="http://schemas.openxmlformats.org/drawingml/2006/picture">
                <pic:pic>
                  <pic:nvPicPr>
                    <pic:cNvPr descr="assets/sar-orb-examples/S1-ORB-VV.png" id="286" name="Picture"/>
                    <pic:cNvPicPr>
                      <a:picLocks noChangeArrowheads="1" noChangeAspect="1"/>
                    </pic:cNvPicPr>
                  </pic:nvPicPr>
                  <pic:blipFill>
                    <a:blip r:embed="rId2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VV intensity; Processing: A. Rosenqvist (soloEO)</w:t>
      </w:r>
    </w:p>
    <w:bookmarkEnd w:id="287"/>
    <w:bookmarkStart w:id="291" w:name="fig:sar-orb-example-fig1b"/>
    <w:p>
      <w:pPr>
        <w:pStyle w:val="CaptionedFigure"/>
      </w:pPr>
      <w:r>
        <w:drawing>
          <wp:inline>
            <wp:extent cx="3810000" cy="2540000"/>
            <wp:effectExtent b="0" l="0" r="0" t="0"/>
            <wp:docPr descr="Figure 2: VH intensity; Processing: A. Rosenqvist (soloEO)" title="" id="289" name="Picture"/>
            <a:graphic>
              <a:graphicData uri="http://schemas.openxmlformats.org/drawingml/2006/picture">
                <pic:pic>
                  <pic:nvPicPr>
                    <pic:cNvPr descr="assets/sar-orb-examples/S1-ORB-VH.png" id="290" name="Picture"/>
                    <pic:cNvPicPr>
                      <a:picLocks noChangeArrowheads="1" noChangeAspect="1"/>
                    </pic:cNvPicPr>
                  </pic:nvPicPr>
                  <pic:blipFill>
                    <a:blip r:embed="rId2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VH intensity; Processing: A. Rosenqvist (soloEO)</w:t>
      </w:r>
    </w:p>
    <w:bookmarkEnd w:id="291"/>
    <w:bookmarkStart w:id="295" w:name="fig:sar-orb-example-fig1c"/>
    <w:p>
      <w:pPr>
        <w:pStyle w:val="CaptionedFigure"/>
      </w:pPr>
      <w:r>
        <w:drawing>
          <wp:inline>
            <wp:extent cx="3810000" cy="2540000"/>
            <wp:effectExtent b="0" l="0" r="0" t="0"/>
            <wp:docPr descr="Figure 3: Data mask image; Processing: A. Rosenqvist (soloEO)" title="" id="293" name="Picture"/>
            <a:graphic>
              <a:graphicData uri="http://schemas.openxmlformats.org/drawingml/2006/picture">
                <pic:pic>
                  <pic:nvPicPr>
                    <pic:cNvPr descr="assets/sar-orb-examples/S1-ORB-data-mask.png" id="294" name="Picture"/>
                    <pic:cNvPicPr>
                      <a:picLocks noChangeArrowheads="1" noChangeAspect="1"/>
                    </pic:cNvPicPr>
                  </pic:nvPicPr>
                  <pic:blipFill>
                    <a:blip r:embed="rId2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Data mask image; Processing: A. Rosenqvist (soloEO)</w:t>
      </w:r>
    </w:p>
    <w:bookmarkEnd w:id="295"/>
    <w:bookmarkStart w:id="299" w:name="fig:sar-orb-example-fig1d"/>
    <w:p>
      <w:pPr>
        <w:pStyle w:val="CaptionedFigure"/>
      </w:pPr>
      <w:r>
        <w:drawing>
          <wp:inline>
            <wp:extent cx="3810000" cy="2540000"/>
            <wp:effectExtent b="0" l="0" r="0" t="0"/>
            <wp:docPr descr="Figure 4: Local incident angle; Processing: A. Rosenqvist (soloEO)" title="" id="297" name="Picture"/>
            <a:graphic>
              <a:graphicData uri="http://schemas.openxmlformats.org/drawingml/2006/picture">
                <pic:pic>
                  <pic:nvPicPr>
                    <pic:cNvPr descr="assets/sar-orb-examples/S1-ORB-local-indicident-angle.png" id="298" name="Picture"/>
                    <pic:cNvPicPr>
                      <a:picLocks noChangeArrowheads="1" noChangeAspect="1"/>
                    </pic:cNvPicPr>
                  </pic:nvPicPr>
                  <pic:blipFill>
                    <a:blip r:embed="rId2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Local incident angle; Processing: A. Rosenqvist (soloEO)</w:t>
      </w:r>
    </w:p>
    <w:bookmarkEnd w:id="299"/>
    <w:p>
      <w:pPr>
        <w:pStyle w:val="Textkrper"/>
      </w:pPr>
      <w:r>
        <w:t xml:space="preserve">Another useful file is the</w:t>
      </w:r>
      <w:r>
        <w:t xml:space="preserve"> </w:t>
      </w:r>
      <w:r>
        <w:t xml:space="preserve">“Mean Wind-Normalised Backscatter Measurements”</w:t>
      </w:r>
      <w:r>
        <w:t xml:space="preserve"> </w:t>
      </w:r>
      <w:r>
        <w:t xml:space="preserve">(Figure </w:t>
      </w:r>
      <w:hyperlink w:anchor="fig:sar-orb-example-fig2b">
        <w:r>
          <w:rPr>
            <w:rStyle w:val="Hyperlink"/>
          </w:rPr>
          <w:t xml:space="preserve">6</w:t>
        </w:r>
      </w:hyperlink>
      <w:r>
        <w:t xml:space="preserve">) which efficiently attenuates intensity variation along range and visually enhances oceanic features. This file is calculated as the ratio between the backscatter intensity and a simulated backscatter intensity image generated using an ocean surface wind model, like CMOD_IRF2</w:t>
      </w:r>
      <w:r>
        <w:t xml:space="preserve"> </w:t>
      </w:r>
      <w:r>
        <w:t xml:space="preserve">(</w:t>
      </w:r>
      <w:hyperlink w:anchor="ref-quilfen1998">
        <w:r>
          <w:rPr>
            <w:rStyle w:val="Hyperlink"/>
          </w:rPr>
          <w:t xml:space="preserve">Yves et al. 1998</w:t>
        </w:r>
      </w:hyperlink>
      <w:r>
        <w:t xml:space="preserve">)</w:t>
      </w:r>
      <w:r>
        <w:t xml:space="preserve"> </w:t>
      </w:r>
      <w:r>
        <w:t xml:space="preserve">for VV polarization or CMOD_IRF2K</w:t>
      </w:r>
      <w:r>
        <w:t xml:space="preserve"> </w:t>
      </w:r>
      <w:r>
        <w:t xml:space="preserve">(</w:t>
      </w:r>
      <w:hyperlink w:anchor="ref-vachon2000">
        <w:r>
          <w:rPr>
            <w:rStyle w:val="Hyperlink"/>
          </w:rPr>
          <w:t xml:space="preserve">Vachon and Dobson 2000</w:t>
        </w:r>
      </w:hyperlink>
      <w:r>
        <w:t xml:space="preserve">)</w:t>
      </w:r>
      <w:r>
        <w:t xml:space="preserve"> </w:t>
      </w:r>
      <w:r>
        <w:t xml:space="preserve">for HH polarization, and the SAR local incidence angle and the look direction information.</w:t>
      </w:r>
    </w:p>
    <w:p>
      <w:pPr>
        <w:pStyle w:val="Textkrper"/>
      </w:pPr>
      <w:r>
        <w:t xml:space="preserve">The following figures show Sentinel-1 EW ORB products:</w:t>
      </w:r>
    </w:p>
    <w:bookmarkStart w:id="303" w:name="fig:sar-orb-example-fig2a"/>
    <w:p>
      <w:pPr>
        <w:pStyle w:val="CaptionedFigure"/>
      </w:pPr>
      <w:r>
        <w:drawing>
          <wp:inline>
            <wp:extent cx="3810000" cy="2540000"/>
            <wp:effectExtent b="0" l="0" r="0" t="0"/>
            <wp:docPr descr="Figure 5: ORB intensity (Sigma-Nought); Processing: G. Hajduch (CLS)" title="" id="301" name="Picture"/>
            <a:graphic>
              <a:graphicData uri="http://schemas.openxmlformats.org/drawingml/2006/picture">
                <pic:pic>
                  <pic:nvPicPr>
                    <pic:cNvPr descr="assets/sar-orb-examples/S1-ORB-sigma-nought.png" id="302" name="Picture"/>
                    <pic:cNvPicPr>
                      <a:picLocks noChangeArrowheads="1" noChangeAspect="1"/>
                    </pic:cNvPicPr>
                  </pic:nvPicPr>
                  <pic:blipFill>
                    <a:blip r:embed="rId30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ORB intensity (Sigma-Nought); Processing: G. Hajduch (CLS)</w:t>
      </w:r>
    </w:p>
    <w:bookmarkEnd w:id="303"/>
    <w:bookmarkStart w:id="307" w:name="fig:sar-orb-example-fig2b"/>
    <w:p>
      <w:pPr>
        <w:pStyle w:val="CaptionedFigure"/>
      </w:pPr>
      <w:r>
        <w:drawing>
          <wp:inline>
            <wp:extent cx="3810000" cy="2540000"/>
            <wp:effectExtent b="0" l="0" r="0" t="0"/>
            <wp:docPr descr="Figure 6: Intensity compensated with the “Mean Wind-Normalised Backscatter Measurement” (i.e., not Sigma-Nought) and geocoded; Processing: G. Hajduch (CLS)" title="" id="305" name="Picture"/>
            <a:graphic>
              <a:graphicData uri="http://schemas.openxmlformats.org/drawingml/2006/picture">
                <pic:pic>
                  <pic:nvPicPr>
                    <pic:cNvPr descr="assets/sar-orb-examples/S1-ORB-intesity-compensated.png" id="306" name="Picture"/>
                    <pic:cNvPicPr>
                      <a:picLocks noChangeArrowheads="1" noChangeAspect="1"/>
                    </pic:cNvPicPr>
                  </pic:nvPicPr>
                  <pic:blipFill>
                    <a:blip r:embed="rId30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Intensity compensated with the</w:t>
      </w:r>
      <w:r>
        <w:t xml:space="preserve"> </w:t>
      </w:r>
      <w:r>
        <w:t xml:space="preserve">“Mean Wind-Normalised Backscatter Measurement”</w:t>
      </w:r>
      <w:r>
        <w:t xml:space="preserve"> </w:t>
      </w:r>
      <w:r>
        <w:t xml:space="preserve">(i.e., not Sigma-Nought) and geocoded; Processing: G. Hajduch (CLS)</w:t>
      </w:r>
    </w:p>
    <w:bookmarkEnd w:id="307"/>
    <w:bookmarkEnd w:id="308"/>
    <w:bookmarkEnd w:id="309"/>
    <w:bookmarkEnd w:id="310"/>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 w:id="152">
    <w:p>
      <w:pPr>
        <w:pStyle w:val="Funotentext"/>
      </w:pPr>
      <w:r>
        <w:rPr>
          <w:rStyle w:val="Funotenzeichen"/>
        </w:rPr>
        <w:footnoteRef/>
      </w:r>
      <w:r>
        <w:t xml:space="preserve"> </w:t>
      </w:r>
      <w:r>
        <w:t xml:space="preserve">The look direction angle represents the planar angle between north and each range direction. It is not constant in range, especially close to the poles.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288" Target="media/rId288.png" /><Relationship Type="http://schemas.openxmlformats.org/officeDocument/2006/relationships/image" Id="rId284" Target="media/rId284.png" /><Relationship Type="http://schemas.openxmlformats.org/officeDocument/2006/relationships/image" Id="rId292" Target="media/rId292.png" /><Relationship Type="http://schemas.openxmlformats.org/officeDocument/2006/relationships/image" Id="rId304" Target="media/rId304.png" /><Relationship Type="http://schemas.openxmlformats.org/officeDocument/2006/relationships/image" Id="rId296" Target="media/rId296.png" /><Relationship Type="http://schemas.openxmlformats.org/officeDocument/2006/relationships/image" Id="rId300" Target="media/rId30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2" Target="https://doi.org/10.1029/97JC01911" TargetMode="External" /><Relationship Type="http://schemas.openxmlformats.org/officeDocument/2006/relationships/hyperlink" Id="rId260" Target="https://doi.org/10.1080/07038992.2000.10874781" TargetMode="External" /><Relationship Type="http://schemas.openxmlformats.org/officeDocument/2006/relationships/hyperlink" Id="rId264" Target="https://doi.org/10.1109/LGRS.2017.2753580" TargetMode="External" /><Relationship Type="http://schemas.openxmlformats.org/officeDocument/2006/relationships/hyperlink" Id="rId254" Target="https://doi.org/10.1109/TGRS.2008.2002881" TargetMode="External" /><Relationship Type="http://schemas.openxmlformats.org/officeDocument/2006/relationships/hyperlink" Id="rId266" Target="https://doi.org/10.1109/TGRS.2010.2051333" TargetMode="External" /><Relationship Type="http://schemas.openxmlformats.org/officeDocument/2006/relationships/hyperlink" Id="rId258" Target="https://doi.org/10.1109/TGRS.2011.2120616" TargetMode="External" /><Relationship Type="http://schemas.openxmlformats.org/officeDocument/2006/relationships/hyperlink" Id="rId256"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Ocean Radar Backscatter - Version 1.2-draft</dc:title>
  <dc:creator/>
  <dc:language>en</dc:language>
  <cp:keywords/>
  <dcterms:created xsi:type="dcterms:W3CDTF">2025-04-16T03:33:10Z</dcterms:created>
  <dcterms:modified xsi:type="dcterms:W3CDTF">2025-04-16T03:33:10Z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build/SAR-ORB.bib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