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316.jpg" ContentType="image/jpeg"/>
  <Override PartName="/word/media/rId31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22" w:name="X585353d8aec71e32101508c22c1e4e52b36bb22"/>
    <w:p>
      <w:pPr>
        <w:pStyle w:val="berschrift1"/>
      </w:pPr>
      <w:r>
        <w:t xml:space="preserve">CEOS-ARD - Synthetic Aperture Radar - Polarimetric Radar</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Polarimetric Radar (SAR-POL)</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Polarimetric Radar (POL) product format is an extension of the CEOS-ARD Normalised Radar Backscatter (NRB) format.</w:t>
      </w:r>
      <w:r>
        <w:t xml:space="preserve"> </w:t>
      </w:r>
      <w:r>
        <w:t xml:space="preserve">This extension is required in order to better support Level-1 SLC polarimetric data, including full-polarimetric modes (e.g., RADARSAT-2, ALOS-2/4, SAOCOM-1 and future missions), and hybrid or linear dual-polarimetric modes (i.e., Compact Polarimetric mode available on RCM, SAOCOM and the upcoming NISAR mission).</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CovMat</w:t>
      </w:r>
    </w:p>
    <w:p>
      <w:pPr>
        <w:pStyle w:val="Definition"/>
      </w:pPr>
      <w:r>
        <w:t xml:space="preserve">Normalised Radar Covariance Matrix</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Metadata</w:t>
      </w:r>
    </w:p>
    <w:p>
      <w:pPr>
        <w:pStyle w:val="Definition"/>
      </w:pPr>
      <w:r>
        <w:t xml:space="preserve">Structured information that describes other information or information services. With well-defined metadata, users should be able to get basic information about data, without the need to have knowledge about its entire content.</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PRD</w:t>
      </w:r>
    </w:p>
    <w:p>
      <w:pPr>
        <w:pStyle w:val="Definition"/>
      </w:pPr>
      <w:r>
        <w:t xml:space="preserve">Polarimetric Radar Decomposition</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3"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bookmarkEnd w:id="30"/>
    <w:bookmarkStart w:id="31" w:name="sec:intro-sar-pol-processing-levels"/>
    <w:p>
      <w:pPr>
        <w:pStyle w:val="berschrift3"/>
      </w:pPr>
      <w:r>
        <w:t xml:space="preserve">Which processing levels are defined in the CEOS-ARD Polarimetric Radar PFS?</w:t>
      </w:r>
    </w:p>
    <w:p>
      <w:pPr>
        <w:pStyle w:val="FirstParagraph"/>
      </w:pPr>
      <w:r>
        <w:t xml:space="preserve">The POL product can be defined in two processing levels:</w:t>
      </w:r>
    </w:p>
    <w:p>
      <w:pPr>
        <w:pStyle w:val="Textkrper"/>
      </w:pPr>
      <w:r>
        <w:t xml:space="preserve">The</w:t>
      </w:r>
      <w:r>
        <w:t xml:space="preserve"> </w:t>
      </w:r>
      <w:r>
        <w:rPr>
          <w:b/>
          <w:bCs/>
        </w:rPr>
        <w:t xml:space="preserve">normalised covariance matrix (CovMat)</w:t>
      </w:r>
      <w:r>
        <w:t xml:space="preserve"> </w:t>
      </w:r>
      <w:r>
        <w:t xml:space="preserve">representation (C2 or C3) which preserves the inter-channel polarimetric phase(s) and maximizes the available information for users.</w:t>
      </w:r>
      <w:r>
        <w:t xml:space="preserve"> </w:t>
      </w:r>
      <w:r>
        <w:t xml:space="preserve">Interoperability within current CEOS-ARD SAR backscatter definition is preserved, since diagonal elements of the covariance matrix are backscatter intensities.</w:t>
      </w:r>
      <w:r>
        <w:t xml:space="preserve"> </w:t>
      </w:r>
      <w:r>
        <w:t xml:space="preserve">Scattering information enhancement can be achieved by applying incoherent polarimetric decomposition techniques (e.g., Freeman-Durden, van Zyl, Cloude-Pottier, Yamaguchi-based) directly on the C2 or C3 matrix.</w:t>
      </w:r>
    </w:p>
    <w:p>
      <w:pPr>
        <w:pStyle w:val="Textkrper"/>
      </w:pPr>
      <w:r>
        <w:rPr>
          <w:b/>
          <w:bCs/>
        </w:rPr>
        <w:t xml:space="preserve">Polarimetric Radar Decomposition (PRD)</w:t>
      </w:r>
      <w:r>
        <w:t xml:space="preserve"> </w:t>
      </w:r>
      <w:r>
        <w:t xml:space="preserve">refers to ARD products where polarimetric information is broken down into simplified parameters to facilitate user interpretation of the data.</w:t>
      </w:r>
      <w:r>
        <w:t xml:space="preserve"> </w:t>
      </w:r>
      <w:r>
        <w:t xml:space="preserve">They are derived from coherent or incoherent polarimetric decomposition techniques.</w:t>
      </w:r>
    </w:p>
    <w:bookmarkEnd w:id="31"/>
    <w:bookmarkStart w:id="32" w:name="sec:intro-sar-pol-limitations"/>
    <w:p>
      <w:pPr>
        <w:pStyle w:val="berschrift3"/>
      </w:pPr>
      <w:r>
        <w:t xml:space="preserve">Which limitations apply to CEOS-ARD Polarimetric Radar?</w:t>
      </w:r>
    </w:p>
    <w:p>
      <w:pPr>
        <w:pStyle w:val="FirstParagraph"/>
      </w:pPr>
      <w:r>
        <w:t xml:space="preserve">For Polarimetric Radar (POL) products, optimal incoherent Polarimetric Radar Decomposition (PRD) should be performed under the slant range projection</w:t>
      </w:r>
      <w:r>
        <w:t xml:space="preserve"> </w:t>
      </w:r>
      <w:r>
        <w:t xml:space="preserve">(</w:t>
      </w:r>
      <w:hyperlink w:anchor="ref-gens2013">
        <w:r>
          <w:rPr>
            <w:rStyle w:val="Hyperlink"/>
          </w:rPr>
          <w:t xml:space="preserve">Gens, Atwood, and Pottier 2013</w:t>
        </w:r>
      </w:hyperlink>
      <w:r>
        <w:t xml:space="preserve">;</w:t>
      </w:r>
      <w:r>
        <w:t xml:space="preserve"> </w:t>
      </w:r>
      <w:hyperlink w:anchor="ref-toutin2013">
        <w:r>
          <w:rPr>
            <w:rStyle w:val="Hyperlink"/>
          </w:rPr>
          <w:t xml:space="preserve">Toutin et al. 2013</w:t>
        </w:r>
      </w:hyperlink>
      <w:r>
        <w:t xml:space="preserve">)</w:t>
      </w:r>
      <w:r>
        <w:t xml:space="preserve">.</w:t>
      </w:r>
      <w:r>
        <w:t xml:space="preserve"> </w:t>
      </w:r>
      <w:r>
        <w:t xml:space="preserve">In order to minimise bias in the CEOS-ARD SAR Level-2A covariance matrix product, speckle filtering and averaging of the covariance matrix should be applied in the slant range projection, and geocoding should be performed using nearest-neighbour resampling.</w:t>
      </w:r>
      <w:r>
        <w:t xml:space="preserve"> </w:t>
      </w:r>
      <w:r>
        <w:t xml:space="preserve">Specifically, nearest-neighbour resampling ensures that the averaged covariance matrix elements in slant range and in geocoded ground projection are exactly the same.</w:t>
      </w:r>
      <w:r>
        <w:t xml:space="preserve"> </w:t>
      </w:r>
      <w:r>
        <w:t xml:space="preserve">Consequently, the polarimetrically derived parameters are exactly equal in both approaches (assuming that no further averaging is performed on the ARD product for decomposing the polarimetric information).</w:t>
      </w:r>
      <w:r>
        <w:t xml:space="preserve"> </w:t>
      </w:r>
      <w:r>
        <w:t xml:space="preserve">Bilinear and average resampling methods are also suitable for resampling the covariance matrix, but some differences with polarimetric parameters generated in slant range and then resampled (bilinear) might be observed on sloped terrains.</w:t>
      </w:r>
      <w:r>
        <w:t xml:space="preserve"> </w:t>
      </w:r>
      <w:r>
        <w:t xml:space="preserve">Even if Sinc interpolation may be more robust for spatial resampling, it does not preserve covariance matrix integrity, and should consequently not be used for this ARD product.</w:t>
      </w:r>
    </w:p>
    <w:p>
      <w:pPr>
        <w:pStyle w:val="Textkrper"/>
      </w:pPr>
      <w:r>
        <w:t xml:space="preserve">It is recommended that ARD providers who desire to distribute PRD products decompose the polarimetric information starting from Level-1 SLC data and then geocode the derived parameters rather than use the CovMat ARD product.</w:t>
      </w:r>
      <w:r>
        <w:t xml:space="preserve"> </w:t>
      </w:r>
      <w:r>
        <w:t xml:space="preserve">Resampling can be performed using any of the supported methods (nearest-neighbour, bilinear, average, bi-cubic spline or Lanczos are recommended), which need to be indicated in the product metadata.</w:t>
      </w:r>
      <w:r>
        <w:t xml:space="preserve"> </w:t>
      </w:r>
      <w:r>
        <w:t xml:space="preserve">Note that coherent decomposition techniques cannot be performed on CovMat ARD products.</w:t>
      </w:r>
    </w:p>
    <w:p>
      <w:pPr>
        <w:pStyle w:val="Textkrper"/>
      </w:pPr>
      <w:r>
        <w:t xml:space="preserve">Covariance matrix products contain a variable number of layers (or bands) with different data types depending on the polarimetric mode (full or dual) and decomposition technique.</w:t>
      </w:r>
      <w:r>
        <w:t xml:space="preserve"> </w:t>
      </w:r>
      <w:r>
        <w:t xml:space="preserve">The CovMat products for the C2 matrix have 3 layers (2 real-valued diagonal elements and 1 complex-valued off-diagonal element).</w:t>
      </w:r>
      <w:r>
        <w:t xml:space="preserve"> </w:t>
      </w:r>
      <w:r>
        <w:t xml:space="preserve">CovMat products for the C3 matrix have 6 layers (3 real-valued diagonal elements and 3 complex-valued off-diagonal elements).</w:t>
      </w:r>
      <w:r>
        <w:t xml:space="preserve"> </w:t>
      </w:r>
      <w:r>
        <w:t xml:space="preserve">Layers that can be obtained via a complex conjugation of other layers are not provided within the product.</w:t>
      </w:r>
      <w:r>
        <w:t xml:space="preserve"> </w:t>
      </w:r>
      <w:r>
        <w:t xml:space="preserve">Polarimetric Decomposition products contain typically 2 to 4 (or more) real-valued layers depending on the particular decomposition algorithm.</w:t>
      </w:r>
      <w:r>
        <w:t xml:space="preserve"> </w:t>
      </w:r>
      <w:r>
        <w:t xml:space="preserve">Within the CovMat product files, ARD layers are organized in order to reduce access delays and maximize efficiency in extracting the desired information.</w:t>
      </w:r>
      <w:r>
        <w:t xml:space="preserve"> </w:t>
      </w:r>
      <w:r>
        <w:t xml:space="preserve">In CovMat products, geographically contiguous samples for each layer may be stored next to each other and organized</w:t>
      </w:r>
      <w:r>
        <w:t xml:space="preserve"> </w:t>
      </w:r>
      <w:r>
        <w:t xml:space="preserve">“layer by layer”</w:t>
      </w:r>
      <w:r>
        <w:t xml:space="preserve">.</w:t>
      </w:r>
      <w:r>
        <w:t xml:space="preserve"> </w:t>
      </w:r>
      <w:r>
        <w:t xml:space="preserve">Alternatively, samples belonging to the same covariance matrix might be stored next to each other and organized</w:t>
      </w:r>
      <w:r>
        <w:t xml:space="preserve"> </w:t>
      </w:r>
      <w:r>
        <w:t xml:space="preserve">“matrix by matrix”</w:t>
      </w:r>
      <w:r>
        <w:t xml:space="preserve">.</w:t>
      </w:r>
      <w:r>
        <w:t xml:space="preserve"> </w:t>
      </w:r>
      <w:r>
        <w:t xml:space="preserve">PRD products are organized</w:t>
      </w:r>
      <w:r>
        <w:t xml:space="preserve"> </w:t>
      </w:r>
      <w:r>
        <w:t xml:space="preserve">“layer by layer”</w:t>
      </w:r>
      <w:r>
        <w:t xml:space="preserve">, i.e., with bands corresponding to the output of the polarimetric decomposition stored next to each other.</w:t>
      </w:r>
    </w:p>
    <w:p>
      <w:r>
        <w:br w:type="page"/>
      </w:r>
    </w:p>
    <w:bookmarkEnd w:id="32"/>
    <w:bookmarkEnd w:id="33"/>
    <w:bookmarkStart w:id="250"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4"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7"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4" w:name="threshold-requirements"/>
    <w:p>
      <w:pPr>
        <w:pStyle w:val="berschrift5"/>
      </w:pPr>
      <w:r>
        <w:t xml:space="preserve">Threshold requirements:</w:t>
      </w:r>
    </w:p>
    <w:p>
      <w:pPr>
        <w:pStyle w:val="FirstParagraph"/>
      </w:pPr>
      <w:r>
        <w:rPr>
          <w:i/>
          <w:iCs/>
        </w:rPr>
        <w:t xml:space="preserve">None</w:t>
      </w:r>
    </w:p>
    <w:bookmarkEnd w:id="34"/>
    <w:bookmarkStart w:id="35"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5"/>
    <w:bookmarkStart w:id="36"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6"/>
    <w:bookmarkEnd w:id="37"/>
    <w:bookmarkStart w:id="41"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8"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8"/>
    <w:bookmarkStart w:id="39"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9"/>
    <w:bookmarkStart w:id="40"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40"/>
    <w:bookmarkEnd w:id="41"/>
    <w:bookmarkStart w:id="45"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2"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2"/>
    <w:bookmarkStart w:id="43" w:name="goal-requirements-2"/>
    <w:p>
      <w:pPr>
        <w:pStyle w:val="berschrift5"/>
      </w:pPr>
      <w:r>
        <w:t xml:space="preserve">Goal requirements:</w:t>
      </w:r>
    </w:p>
    <w:p>
      <w:pPr>
        <w:pStyle w:val="FirstParagraph"/>
      </w:pPr>
      <w:r>
        <w:rPr>
          <w:i/>
          <w:iCs/>
        </w:rPr>
        <w:t xml:space="preserve">None</w:t>
      </w:r>
    </w:p>
    <w:bookmarkEnd w:id="43"/>
    <w:bookmarkStart w:id="44"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4"/>
    <w:bookmarkEnd w:id="45"/>
    <w:bookmarkStart w:id="49"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6" w:name="threshold-requirements-3"/>
    <w:p>
      <w:pPr>
        <w:pStyle w:val="berschrift5"/>
      </w:pPr>
      <w:r>
        <w:t xml:space="preserve">Threshold requirements:</w:t>
      </w:r>
    </w:p>
    <w:p>
      <w:pPr>
        <w:pStyle w:val="FirstParagraph"/>
      </w:pPr>
      <w:r>
        <w:t xml:space="preserve">Reference to CEOS-ARD PFS document as URL.</w:t>
      </w:r>
    </w:p>
    <w:bookmarkEnd w:id="46"/>
    <w:bookmarkStart w:id="47" w:name="goal-requirements-3"/>
    <w:p>
      <w:pPr>
        <w:pStyle w:val="berschrift5"/>
      </w:pPr>
      <w:r>
        <w:t xml:space="preserve">Goal requirements:</w:t>
      </w:r>
    </w:p>
    <w:p>
      <w:pPr>
        <w:pStyle w:val="FirstParagraph"/>
      </w:pPr>
      <w:r>
        <w:rPr>
          <w:i/>
          <w:iCs/>
        </w:rPr>
        <w:t xml:space="preserve">None</w:t>
      </w:r>
    </w:p>
    <w:bookmarkEnd w:id="47"/>
    <w:bookmarkStart w:id="48"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8"/>
    <w:bookmarkEnd w:id="49"/>
    <w:bookmarkStart w:id="53"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50"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50"/>
    <w:bookmarkStart w:id="51" w:name="goal-requirements-4"/>
    <w:p>
      <w:pPr>
        <w:pStyle w:val="berschrift5"/>
      </w:pPr>
      <w:r>
        <w:t xml:space="preserve">Goal requirements:</w:t>
      </w:r>
    </w:p>
    <w:p>
      <w:pPr>
        <w:pStyle w:val="FirstParagraph"/>
      </w:pPr>
      <w:r>
        <w:rPr>
          <w:i/>
          <w:iCs/>
        </w:rPr>
        <w:t xml:space="preserve">None</w:t>
      </w:r>
    </w:p>
    <w:bookmarkEnd w:id="51"/>
    <w:bookmarkStart w:id="52"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Goal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2"/>
    <w:bookmarkEnd w:id="53"/>
    <w:bookmarkEnd w:id="54"/>
    <w:bookmarkStart w:id="109"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8" w:name="sec:src.metadata-sequential-id"/>
    <w:p>
      <w:pPr>
        <w:pStyle w:val="berschrift4"/>
      </w:pPr>
      <w:r>
        <w:rPr>
          <w:rStyle w:val="VerbatimChar"/>
        </w:rPr>
        <w:t xml:space="preserve">2.1.</w:t>
      </w:r>
      <w:r>
        <w:t xml:space="preserve"> </w:t>
      </w:r>
      <w:r>
        <w:t xml:space="preserve">Source Metadata: Sequential ID</w:t>
      </w:r>
    </w:p>
    <w:p>
      <w:pPr>
        <w:pStyle w:val="FirstParagraph"/>
      </w:pPr>
      <w:r>
        <w:t xml:space="preserve">Identifier:</w:t>
      </w:r>
      <w:r>
        <w:t xml:space="preserve"> </w:t>
      </w:r>
      <w:r>
        <w:rPr>
          <w:rStyle w:val="VerbatimChar"/>
        </w:rPr>
        <w:t xml:space="preserve">src.metadata-sequential-id</w:t>
      </w:r>
    </w:p>
    <w:bookmarkStart w:id="55" w:name="threshold-requirements-5"/>
    <w:p>
      <w:pPr>
        <w:pStyle w:val="berschrift5"/>
      </w:pPr>
      <w:r>
        <w:t xml:space="preserve">Threshold requirements:</w:t>
      </w:r>
    </w:p>
    <w:p>
      <w:pPr>
        <w:pStyle w:val="FirstParagraph"/>
      </w:pPr>
      <w:r>
        <w:t xml:space="preserve">Each acquisition is identified through a sequential identifier in the metadata, e.g. 1, 2, 3.</w:t>
      </w:r>
    </w:p>
    <w:bookmarkEnd w:id="55"/>
    <w:bookmarkStart w:id="56" w:name="goal-requirements-5"/>
    <w:p>
      <w:pPr>
        <w:pStyle w:val="berschrift5"/>
      </w:pPr>
      <w:r>
        <w:t xml:space="preserve">Goal requirements:</w:t>
      </w:r>
    </w:p>
    <w:p>
      <w:pPr>
        <w:pStyle w:val="FirstParagraph"/>
      </w:pPr>
      <w:r>
        <w:rPr>
          <w:i/>
          <w:iCs/>
        </w:rPr>
        <w:t xml:space="preserve">None</w:t>
      </w:r>
    </w:p>
    <w:bookmarkEnd w:id="56"/>
    <w:bookmarkStart w:id="57"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7"/>
    <w:bookmarkEnd w:id="58"/>
    <w:bookmarkStart w:id="62"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9"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9"/>
    <w:bookmarkStart w:id="60"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60"/>
    <w:bookmarkStart w:id="61"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Goal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61"/>
    <w:bookmarkEnd w:id="62"/>
    <w:bookmarkStart w:id="67"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3"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3"/>
    <w:bookmarkStart w:id="65" w:name="goal-requirements-7"/>
    <w:p>
      <w:pPr>
        <w:pStyle w:val="berschrift5"/>
      </w:pPr>
      <w:r>
        <w:t xml:space="preserve">Goal requirements:</w:t>
      </w:r>
    </w:p>
    <w:p>
      <w:pPr>
        <w:pStyle w:val="FirstParagraph"/>
      </w:pPr>
      <w:r>
        <w:t xml:space="preserve">A reference to the relevant</w:t>
      </w:r>
      <w:r>
        <w:t xml:space="preserve"> </w:t>
      </w:r>
      <w:hyperlink r:id="rId64">
        <w:r>
          <w:rPr>
            <w:rStyle w:val="Hyperlink"/>
          </w:rPr>
          <w:t xml:space="preserve">CEOS Missions, Instruments and Measurements Database</w:t>
        </w:r>
      </w:hyperlink>
      <w:r>
        <w:t xml:space="preserve"> </w:t>
      </w:r>
      <w:r>
        <w:t xml:space="preserve">record.</w:t>
      </w:r>
    </w:p>
    <w:bookmarkEnd w:id="65"/>
    <w:bookmarkStart w:id="66"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Goal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6"/>
    <w:bookmarkEnd w:id="67"/>
    <w:bookmarkStart w:id="71"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8"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8"/>
    <w:bookmarkStart w:id="69" w:name="goal-requirements-8"/>
    <w:p>
      <w:pPr>
        <w:pStyle w:val="berschrift5"/>
      </w:pPr>
      <w:r>
        <w:t xml:space="preserve">Goal requirements:</w:t>
      </w:r>
    </w:p>
    <w:p>
      <w:pPr>
        <w:pStyle w:val="FirstParagraph"/>
      </w:pPr>
      <w:r>
        <w:rPr>
          <w:i/>
          <w:iCs/>
        </w:rPr>
        <w:t xml:space="preserve">None</w:t>
      </w:r>
    </w:p>
    <w:bookmarkEnd w:id="69"/>
    <w:bookmarkStart w:id="70"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70"/>
    <w:bookmarkEnd w:id="71"/>
    <w:bookmarkStart w:id="75"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2"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2"/>
    <w:bookmarkStart w:id="73" w:name="goal-requirements-9"/>
    <w:p>
      <w:pPr>
        <w:pStyle w:val="berschrift5"/>
      </w:pPr>
      <w:r>
        <w:t xml:space="preserve">Goal requirements:</w:t>
      </w:r>
    </w:p>
    <w:p>
      <w:pPr>
        <w:pStyle w:val="FirstParagraph"/>
      </w:pPr>
      <w:r>
        <w:rPr>
          <w:i/>
          <w:iCs/>
        </w:rPr>
        <w:t xml:space="preserve">None</w:t>
      </w:r>
    </w:p>
    <w:bookmarkEnd w:id="73"/>
    <w:bookmarkStart w:id="74"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4"/>
    <w:bookmarkEnd w:id="75"/>
    <w:bookmarkStart w:id="80"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7"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6"/>
      </w:r>
    </w:p>
    <w:p>
      <w:pPr>
        <w:pStyle w:val="Compact"/>
        <w:numPr>
          <w:ilvl w:val="0"/>
          <w:numId w:val="1035"/>
        </w:numPr>
      </w:pPr>
      <w:r>
        <w:t xml:space="preserve">Orbit data source (e.g., predicted, definite, precise, downlinked, etc.)</w:t>
      </w:r>
    </w:p>
    <w:bookmarkEnd w:id="77"/>
    <w:bookmarkStart w:id="78"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8"/>
    <w:bookmarkStart w:id="79"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9"/>
    <w:bookmarkEnd w:id="80"/>
    <w:bookmarkStart w:id="84"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81"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81"/>
    <w:bookmarkStart w:id="82"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2"/>
    <w:bookmarkStart w:id="83"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3"/>
    <w:bookmarkEnd w:id="84"/>
    <w:bookmarkStart w:id="88"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5"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5"/>
    <w:bookmarkStart w:id="86"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6"/>
    <w:bookmarkStart w:id="87"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7"/>
    <w:bookmarkEnd w:id="88"/>
    <w:bookmarkStart w:id="92"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9" w:name="threshold-requirements-13"/>
    <w:p>
      <w:pPr>
        <w:pStyle w:val="berschrift5"/>
      </w:pPr>
      <w:r>
        <w:t xml:space="preserve">Threshold requirements:</w:t>
      </w:r>
    </w:p>
    <w:p>
      <w:pPr>
        <w:pStyle w:val="FirstParagraph"/>
      </w:pPr>
      <w:r>
        <w:rPr>
          <w:i/>
          <w:iCs/>
        </w:rPr>
        <w:t xml:space="preserve">None</w:t>
      </w:r>
    </w:p>
    <w:bookmarkEnd w:id="89"/>
    <w:bookmarkStart w:id="90"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90"/>
    <w:bookmarkStart w:id="91"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91"/>
    <w:bookmarkEnd w:id="92"/>
    <w:bookmarkStart w:id="96"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3"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3"/>
    <w:bookmarkStart w:id="94"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4"/>
    <w:bookmarkStart w:id="95"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5"/>
    <w:bookmarkEnd w:id="96"/>
    <w:bookmarkStart w:id="100"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7" w:name="threshold-requirements-15"/>
    <w:p>
      <w:pPr>
        <w:pStyle w:val="berschrift5"/>
      </w:pPr>
      <w:r>
        <w:t xml:space="preserve">Threshold requirements:</w:t>
      </w:r>
    </w:p>
    <w:p>
      <w:pPr>
        <w:pStyle w:val="FirstParagraph"/>
      </w:pPr>
      <w:r>
        <w:rPr>
          <w:i/>
          <w:iCs/>
        </w:rPr>
        <w:t xml:space="preserve">None</w:t>
      </w:r>
    </w:p>
    <w:bookmarkEnd w:id="97"/>
    <w:bookmarkStart w:id="98"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8"/>
    <w:bookmarkStart w:id="99"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9"/>
    <w:bookmarkEnd w:id="100"/>
    <w:bookmarkStart w:id="104"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101" w:name="threshold-requirements-16"/>
    <w:p>
      <w:pPr>
        <w:pStyle w:val="berschrift5"/>
      </w:pPr>
      <w:r>
        <w:t xml:space="preserve">Threshold requirements:</w:t>
      </w:r>
    </w:p>
    <w:p>
      <w:pPr>
        <w:pStyle w:val="FirstParagraph"/>
      </w:pPr>
      <w:r>
        <w:rPr>
          <w:i/>
          <w:iCs/>
        </w:rPr>
        <w:t xml:space="preserve">None</w:t>
      </w:r>
    </w:p>
    <w:bookmarkEnd w:id="101"/>
    <w:bookmarkStart w:id="102"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2"/>
    <w:bookmarkStart w:id="103"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3"/>
    <w:bookmarkEnd w:id="104"/>
    <w:bookmarkStart w:id="108"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5" w:name="threshold-requirements-17"/>
    <w:p>
      <w:pPr>
        <w:pStyle w:val="berschrift5"/>
      </w:pPr>
      <w:r>
        <w:t xml:space="preserve">Threshold requirements:</w:t>
      </w:r>
    </w:p>
    <w:p>
      <w:pPr>
        <w:pStyle w:val="FirstParagraph"/>
      </w:pPr>
      <w:r>
        <w:rPr>
          <w:i/>
          <w:iCs/>
        </w:rPr>
        <w:t xml:space="preserve">None</w:t>
      </w:r>
    </w:p>
    <w:bookmarkEnd w:id="105"/>
    <w:bookmarkStart w:id="106"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6"/>
    <w:bookmarkStart w:id="107"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7"/>
    <w:bookmarkEnd w:id="108"/>
    <w:bookmarkEnd w:id="109"/>
    <w:bookmarkStart w:id="158"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3"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10"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10"/>
    <w:bookmarkStart w:id="111"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11"/>
    <w:bookmarkStart w:id="112"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2"/>
    <w:bookmarkEnd w:id="113"/>
    <w:bookmarkStart w:id="117"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4" w:name="threshold-requirements-19"/>
    <w:p>
      <w:pPr>
        <w:pStyle w:val="berschrift5"/>
      </w:pPr>
      <w:r>
        <w:t xml:space="preserve">Threshold requirements:</w:t>
      </w:r>
    </w:p>
    <w:p>
      <w:pPr>
        <w:pStyle w:val="FirstParagraph"/>
      </w:pPr>
      <w:r>
        <w:rPr>
          <w:i/>
          <w:iCs/>
        </w:rPr>
        <w:t xml:space="preserve">None</w:t>
      </w:r>
    </w:p>
    <w:bookmarkEnd w:id="114"/>
    <w:bookmarkStart w:id="115"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5"/>
    <w:bookmarkStart w:id="116"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6"/>
    <w:bookmarkEnd w:id="117"/>
    <w:bookmarkStart w:id="121"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8"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8"/>
    <w:bookmarkStart w:id="119" w:name="goal-requirements-20"/>
    <w:p>
      <w:pPr>
        <w:pStyle w:val="berschrift5"/>
      </w:pPr>
      <w:r>
        <w:t xml:space="preserve">Goal requirements:</w:t>
      </w:r>
    </w:p>
    <w:p>
      <w:pPr>
        <w:pStyle w:val="FirstParagraph"/>
      </w:pPr>
      <w:r>
        <w:rPr>
          <w:i/>
          <w:iCs/>
        </w:rPr>
        <w:t xml:space="preserve">None</w:t>
      </w:r>
    </w:p>
    <w:bookmarkEnd w:id="119"/>
    <w:bookmarkStart w:id="120"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20"/>
    <w:bookmarkEnd w:id="121"/>
    <w:bookmarkStart w:id="125" w:name="sec:prd.metadata-enl"/>
    <w:p>
      <w:pPr>
        <w:pStyle w:val="berschrift4"/>
      </w:pPr>
      <w:r>
        <w:rPr>
          <w:rStyle w:val="VerbatimChar"/>
        </w:rPr>
        <w:t xml:space="preserve">3.4.</w:t>
      </w:r>
      <w:r>
        <w:t xml:space="preserve"> </w:t>
      </w:r>
      <w:r>
        <w:t xml:space="preserve">Product Metadata: Equivalent Number of Looks</w:t>
      </w:r>
    </w:p>
    <w:p>
      <w:pPr>
        <w:pStyle w:val="FirstParagraph"/>
      </w:pPr>
      <w:r>
        <w:t xml:space="preserve">Identifier:</w:t>
      </w:r>
      <w:r>
        <w:t xml:space="preserve"> </w:t>
      </w:r>
      <w:r>
        <w:rPr>
          <w:rStyle w:val="VerbatimChar"/>
        </w:rPr>
        <w:t xml:space="preserve">prd.metadata-enl</w:t>
      </w:r>
    </w:p>
    <w:bookmarkStart w:id="122" w:name="threshold-requirements-21"/>
    <w:p>
      <w:pPr>
        <w:pStyle w:val="berschrift5"/>
      </w:pPr>
      <w:r>
        <w:t xml:space="preserve">Threshold requirements:</w:t>
      </w:r>
    </w:p>
    <w:p>
      <w:pPr>
        <w:pStyle w:val="FirstParagraph"/>
      </w:pPr>
      <w:r>
        <w:rPr>
          <w:i/>
          <w:iCs/>
        </w:rPr>
        <w:t xml:space="preserve">None</w:t>
      </w:r>
    </w:p>
    <w:bookmarkEnd w:id="122"/>
    <w:bookmarkStart w:id="123" w:name="goal-requirements-21"/>
    <w:p>
      <w:pPr>
        <w:pStyle w:val="berschrift5"/>
      </w:pPr>
      <w:r>
        <w:t xml:space="preserve">Goal requirements:</w:t>
      </w:r>
    </w:p>
    <w:p>
      <w:pPr>
        <w:pStyle w:val="FirstParagraph"/>
      </w:pPr>
      <w:r>
        <w:t xml:space="preserve">Equivalent Number of Looks (ENL)</w:t>
      </w:r>
    </w:p>
    <w:bookmarkEnd w:id="123"/>
    <w:bookmarkStart w:id="124" w:name="assessment-21"/>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Goal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24"/>
    <w:bookmarkEnd w:id="125"/>
    <w:bookmarkStart w:id="129" w:name="sec:prd.metadata-resolution"/>
    <w:p>
      <w:pPr>
        <w:pStyle w:val="berschrift4"/>
      </w:pPr>
      <w:r>
        <w:rPr>
          <w:rStyle w:val="VerbatimChar"/>
        </w:rPr>
        <w:t xml:space="preserve">3.5.</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6" w:name="threshold-requirements-22"/>
    <w:p>
      <w:pPr>
        <w:pStyle w:val="berschrift5"/>
      </w:pPr>
      <w:r>
        <w:t xml:space="preserve">Threshold requirements:</w:t>
      </w:r>
    </w:p>
    <w:p>
      <w:pPr>
        <w:pStyle w:val="FirstParagraph"/>
      </w:pPr>
      <w:r>
        <w:rPr>
          <w:i/>
          <w:iCs/>
        </w:rPr>
        <w:t xml:space="preserve">None</w:t>
      </w:r>
    </w:p>
    <w:bookmarkEnd w:id="126"/>
    <w:bookmarkStart w:id="127" w:name="goal-requirements-22"/>
    <w:p>
      <w:pPr>
        <w:pStyle w:val="berschrift5"/>
      </w:pPr>
      <w:r>
        <w:t xml:space="preserve">Goal requirements:</w:t>
      </w:r>
    </w:p>
    <w:p>
      <w:pPr>
        <w:pStyle w:val="FirstParagraph"/>
      </w:pPr>
      <w:r>
        <w:t xml:space="preserve">Average spatial resolution along:</w:t>
      </w:r>
    </w:p>
    <w:p>
      <w:pPr>
        <w:pStyle w:val="Compact"/>
        <w:numPr>
          <w:ilvl w:val="0"/>
          <w:numId w:val="1054"/>
        </w:numPr>
      </w:pPr>
      <w:r>
        <w:t xml:space="preserve">Columns</w:t>
      </w:r>
    </w:p>
    <w:p>
      <w:pPr>
        <w:pStyle w:val="Compact"/>
        <w:numPr>
          <w:ilvl w:val="0"/>
          <w:numId w:val="1054"/>
        </w:numPr>
      </w:pPr>
      <w:r>
        <w:t xml:space="preserve">Rows</w:t>
      </w:r>
    </w:p>
    <w:bookmarkEnd w:id="127"/>
    <w:bookmarkStart w:id="128" w:name="assessment-22"/>
    <w:p>
      <w:pPr>
        <w:pStyle w:val="berschrift5"/>
      </w:pPr>
      <w:r>
        <w:t xml:space="preserve">Assessment:</w:t>
      </w:r>
    </w:p>
    <w:p>
      <w:pPr>
        <w:pStyle w:val="Compact"/>
        <w:numPr>
          <w:ilvl w:val="0"/>
          <w:numId w:val="1055"/>
        </w:numPr>
      </w:pPr>
      <w:r>
        <w:t xml:space="preserve">Threshold Self-Assessment:</w:t>
      </w:r>
    </w:p>
    <w:p>
      <w:pPr>
        <w:pStyle w:val="Compact"/>
        <w:numPr>
          <w:ilvl w:val="0"/>
          <w:numId w:val="1055"/>
        </w:numPr>
      </w:pPr>
      <w:r>
        <w:t xml:space="preserve">Goal Self-Assessment:</w:t>
      </w:r>
    </w:p>
    <w:p>
      <w:pPr>
        <w:pStyle w:val="Compact"/>
        <w:numPr>
          <w:ilvl w:val="0"/>
          <w:numId w:val="1055"/>
        </w:numPr>
      </w:pPr>
      <w:r>
        <w:t xml:space="preserve">Self-Assessment Explanation/ Justification:</w:t>
      </w:r>
    </w:p>
    <w:p>
      <w:pPr>
        <w:pStyle w:val="Compact"/>
        <w:numPr>
          <w:ilvl w:val="0"/>
          <w:numId w:val="1055"/>
        </w:numPr>
      </w:pPr>
      <w:r>
        <w:t xml:space="preserve">Recommended Requirement Modification:</w:t>
      </w:r>
    </w:p>
    <w:p>
      <w:r>
        <w:pict>
          <v:rect style="width:0;height:1.5pt" o:hralign="center" o:hrstd="t" o:hr="t"/>
        </w:pict>
      </w:r>
    </w:p>
    <w:bookmarkEnd w:id="128"/>
    <w:bookmarkEnd w:id="129"/>
    <w:bookmarkStart w:id="133" w:name="sec:prd.metadata-speckle-filtering"/>
    <w:p>
      <w:pPr>
        <w:pStyle w:val="berschrift4"/>
      </w:pPr>
      <w:r>
        <w:rPr>
          <w:rStyle w:val="VerbatimChar"/>
        </w:rPr>
        <w:t xml:space="preserve">3.6.</w:t>
      </w:r>
      <w:r>
        <w:t xml:space="preserve"> </w:t>
      </w:r>
      <w:r>
        <w:t xml:space="preserve">Product Metadata: Speckle Filtering</w:t>
      </w:r>
    </w:p>
    <w:p>
      <w:pPr>
        <w:pStyle w:val="FirstParagraph"/>
      </w:pPr>
      <w:r>
        <w:t xml:space="preserve">Identifier:</w:t>
      </w:r>
      <w:r>
        <w:t xml:space="preserve"> </w:t>
      </w:r>
      <w:r>
        <w:rPr>
          <w:rStyle w:val="VerbatimChar"/>
        </w:rPr>
        <w:t xml:space="preserve">prd.metadata-speckle-filtering</w:t>
      </w:r>
    </w:p>
    <w:bookmarkStart w:id="130"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56"/>
        </w:numPr>
      </w:pPr>
      <w:r>
        <w:t xml:space="preserve">Reference to algorithm as DOI or URL</w:t>
      </w:r>
    </w:p>
    <w:p>
      <w:pPr>
        <w:pStyle w:val="Compact"/>
        <w:numPr>
          <w:ilvl w:val="0"/>
          <w:numId w:val="1056"/>
        </w:numPr>
      </w:pPr>
      <w:r>
        <w:t xml:space="preserve">Input filtering parameters</w:t>
      </w:r>
    </w:p>
    <w:p>
      <w:pPr>
        <w:pStyle w:val="Compact"/>
        <w:numPr>
          <w:ilvl w:val="1"/>
          <w:numId w:val="1057"/>
        </w:numPr>
      </w:pPr>
      <w:r>
        <w:t xml:space="preserve">Type</w:t>
      </w:r>
    </w:p>
    <w:p>
      <w:pPr>
        <w:pStyle w:val="Compact"/>
        <w:numPr>
          <w:ilvl w:val="1"/>
          <w:numId w:val="1057"/>
        </w:numPr>
      </w:pPr>
      <w:r>
        <w:t xml:space="preserve">Window size in pixel units</w:t>
      </w:r>
    </w:p>
    <w:p>
      <w:pPr>
        <w:pStyle w:val="Compact"/>
        <w:numPr>
          <w:ilvl w:val="1"/>
          <w:numId w:val="1057"/>
        </w:numPr>
      </w:pPr>
      <w:r>
        <w:t xml:space="preserve">Any other parameters defining the speckle filter used</w:t>
      </w:r>
    </w:p>
    <w:bookmarkEnd w:id="130"/>
    <w:bookmarkStart w:id="131" w:name="goal-requirements-23"/>
    <w:p>
      <w:pPr>
        <w:pStyle w:val="berschrift5"/>
      </w:pPr>
      <w:r>
        <w:t xml:space="preserve">Goal requirements:</w:t>
      </w:r>
    </w:p>
    <w:p>
      <w:pPr>
        <w:pStyle w:val="FirstParagraph"/>
      </w:pPr>
      <w:r>
        <w:rPr>
          <w:i/>
          <w:iCs/>
        </w:rPr>
        <w:t xml:space="preserve">None</w:t>
      </w:r>
    </w:p>
    <w:bookmarkEnd w:id="131"/>
    <w:bookmarkStart w:id="132" w:name="assessment-23"/>
    <w:p>
      <w:pPr>
        <w:pStyle w:val="berschrift5"/>
      </w:pPr>
      <w:r>
        <w:t xml:space="preserve">Assessment:</w:t>
      </w:r>
    </w:p>
    <w:p>
      <w:pPr>
        <w:pStyle w:val="Compact"/>
        <w:numPr>
          <w:ilvl w:val="0"/>
          <w:numId w:val="1058"/>
        </w:numPr>
      </w:pPr>
      <w:r>
        <w:t xml:space="preserve">Threshold Self-Assessment:</w:t>
      </w:r>
    </w:p>
    <w:p>
      <w:pPr>
        <w:pStyle w:val="Compact"/>
        <w:numPr>
          <w:ilvl w:val="0"/>
          <w:numId w:val="1058"/>
        </w:numPr>
      </w:pPr>
      <w:r>
        <w:t xml:space="preserve">Goal Self-Assessment:</w:t>
      </w:r>
    </w:p>
    <w:p>
      <w:pPr>
        <w:pStyle w:val="Compact"/>
        <w:numPr>
          <w:ilvl w:val="0"/>
          <w:numId w:val="1058"/>
        </w:numPr>
      </w:pPr>
      <w:r>
        <w:t xml:space="preserve">Self-Assessment Explanation/ Justification:</w:t>
      </w:r>
    </w:p>
    <w:p>
      <w:pPr>
        <w:pStyle w:val="Compact"/>
        <w:numPr>
          <w:ilvl w:val="0"/>
          <w:numId w:val="1058"/>
        </w:numPr>
      </w:pPr>
      <w:r>
        <w:t xml:space="preserve">Recommended Requirement Modification:</w:t>
      </w:r>
    </w:p>
    <w:p>
      <w:r>
        <w:pict>
          <v:rect style="width:0;height:1.5pt" o:hralign="center" o:hrstd="t" o:hr="t"/>
        </w:pict>
      </w:r>
    </w:p>
    <w:bookmarkEnd w:id="132"/>
    <w:bookmarkEnd w:id="133"/>
    <w:bookmarkStart w:id="137" w:name="sec:prd.metadata-pol-filtering"/>
    <w:p>
      <w:pPr>
        <w:pStyle w:val="berschrift4"/>
      </w:pPr>
      <w:r>
        <w:rPr>
          <w:rStyle w:val="VerbatimChar"/>
        </w:rPr>
        <w:t xml:space="preserve">3.7.</w:t>
      </w:r>
      <w:r>
        <w:t xml:space="preserve"> </w:t>
      </w:r>
      <w:r>
        <w:t xml:space="preserve">Product Metadata: Polarimetric Filtering</w:t>
      </w:r>
    </w:p>
    <w:p>
      <w:pPr>
        <w:pStyle w:val="FirstParagraph"/>
      </w:pPr>
      <w:r>
        <w:t xml:space="preserve">Identifier:</w:t>
      </w:r>
      <w:r>
        <w:t xml:space="preserve"> </w:t>
      </w:r>
      <w:r>
        <w:rPr>
          <w:rStyle w:val="VerbatimChar"/>
        </w:rPr>
        <w:t xml:space="preserve">prd.metadata-pol-filtering</w:t>
      </w:r>
    </w:p>
    <w:bookmarkStart w:id="134" w:name="threshold-requirements-24"/>
    <w:p>
      <w:pPr>
        <w:pStyle w:val="berschrift5"/>
      </w:pPr>
      <w:r>
        <w:t xml:space="preserve">Threshold requirements:</w:t>
      </w:r>
    </w:p>
    <w:p>
      <w:pPr>
        <w:pStyle w:val="FirstParagraph"/>
      </w:pPr>
      <w:r>
        <w:t xml:space="preserve">Advanced polarimetric filter preserving covariance matrix properties should be applied.</w:t>
      </w:r>
    </w:p>
    <w:bookmarkEnd w:id="134"/>
    <w:bookmarkStart w:id="135" w:name="goal-requirements-24"/>
    <w:p>
      <w:pPr>
        <w:pStyle w:val="berschrift5"/>
      </w:pPr>
      <w:r>
        <w:t xml:space="preserve">Goal requirements:</w:t>
      </w:r>
    </w:p>
    <w:p>
      <w:pPr>
        <w:pStyle w:val="FirstParagraph"/>
      </w:pPr>
      <w:r>
        <w:rPr>
          <w:i/>
          <w:iCs/>
        </w:rPr>
        <w:t xml:space="preserve">None</w:t>
      </w:r>
    </w:p>
    <w:bookmarkEnd w:id="135"/>
    <w:bookmarkStart w:id="136" w:name="assessment-24"/>
    <w:p>
      <w:pPr>
        <w:pStyle w:val="berschrift5"/>
      </w:pPr>
      <w:r>
        <w:t xml:space="preserve">Assessment:</w:t>
      </w:r>
    </w:p>
    <w:p>
      <w:pPr>
        <w:pStyle w:val="Compact"/>
        <w:numPr>
          <w:ilvl w:val="0"/>
          <w:numId w:val="1059"/>
        </w:numPr>
      </w:pPr>
      <w:r>
        <w:t xml:space="preserve">Threshold Self-Assessment:</w:t>
      </w:r>
    </w:p>
    <w:p>
      <w:pPr>
        <w:pStyle w:val="Compact"/>
        <w:numPr>
          <w:ilvl w:val="0"/>
          <w:numId w:val="1059"/>
        </w:numPr>
      </w:pPr>
      <w:r>
        <w:t xml:space="preserve">Goal Self-Assessment:</w:t>
      </w:r>
    </w:p>
    <w:p>
      <w:pPr>
        <w:pStyle w:val="Compact"/>
        <w:numPr>
          <w:ilvl w:val="0"/>
          <w:numId w:val="1059"/>
        </w:numPr>
      </w:pPr>
      <w:r>
        <w:t xml:space="preserve">Self-Assessment Explanation/ Justification:</w:t>
      </w:r>
    </w:p>
    <w:p>
      <w:pPr>
        <w:pStyle w:val="Compact"/>
        <w:numPr>
          <w:ilvl w:val="0"/>
          <w:numId w:val="1059"/>
        </w:numPr>
      </w:pPr>
      <w:r>
        <w:t xml:space="preserve">Recommended Requirement Modification:</w:t>
      </w:r>
    </w:p>
    <w:p>
      <w:r>
        <w:pict>
          <v:rect style="width:0;height:1.5pt" o:hralign="center" o:hrstd="t" o:hr="t"/>
        </w:pict>
      </w:r>
    </w:p>
    <w:bookmarkEnd w:id="136"/>
    <w:bookmarkEnd w:id="137"/>
    <w:bookmarkStart w:id="141" w:name="sec:prd.metadata-bounding-box"/>
    <w:p>
      <w:pPr>
        <w:pStyle w:val="berschrift4"/>
      </w:pPr>
      <w:r>
        <w:rPr>
          <w:rStyle w:val="VerbatimChar"/>
        </w:rPr>
        <w:t xml:space="preserve">3.8.</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38" w:name="threshold-requirements-25"/>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60"/>
        </w:numPr>
      </w:pPr>
      <w:r>
        <w:t xml:space="preserve">Four corners of the measurement file are recommended for scenes crossing the Antemeridian, or the North or the South Pole.</w:t>
      </w:r>
    </w:p>
    <w:bookmarkEnd w:id="138"/>
    <w:bookmarkStart w:id="139" w:name="goal-requirements-25"/>
    <w:p>
      <w:pPr>
        <w:pStyle w:val="berschrift5"/>
      </w:pPr>
      <w:r>
        <w:t xml:space="preserve">Goal requirements:</w:t>
      </w:r>
    </w:p>
    <w:p>
      <w:pPr>
        <w:pStyle w:val="FirstParagraph"/>
      </w:pPr>
      <w:r>
        <w:rPr>
          <w:i/>
          <w:iCs/>
        </w:rPr>
        <w:t xml:space="preserve">None</w:t>
      </w:r>
    </w:p>
    <w:bookmarkEnd w:id="139"/>
    <w:bookmarkStart w:id="140" w:name="assessment-2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40"/>
    <w:bookmarkEnd w:id="141"/>
    <w:bookmarkStart w:id="145" w:name="sec:prd.metadata-footprint"/>
    <w:p>
      <w:pPr>
        <w:pStyle w:val="berschrift4"/>
      </w:pPr>
      <w:r>
        <w:rPr>
          <w:rStyle w:val="VerbatimChar"/>
        </w:rPr>
        <w:t xml:space="preserve">3.9.</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42" w:name="threshold-requirements-26"/>
    <w:p>
      <w:pPr>
        <w:pStyle w:val="berschrift5"/>
      </w:pPr>
      <w:r>
        <w:t xml:space="preserve">Threshold requirements:</w:t>
      </w:r>
    </w:p>
    <w:p>
      <w:pPr>
        <w:pStyle w:val="FirstParagraph"/>
      </w:pPr>
      <w:r>
        <w:t xml:space="preserve">The geometry of the image footprint expressed in WGS84, in a standardised format (e.g., WKT Polygon).</w:t>
      </w:r>
    </w:p>
    <w:bookmarkEnd w:id="142"/>
    <w:bookmarkStart w:id="143" w:name="goal-requirements-26"/>
    <w:p>
      <w:pPr>
        <w:pStyle w:val="berschrift5"/>
      </w:pPr>
      <w:r>
        <w:t xml:space="preserve">Goal requirements:</w:t>
      </w:r>
    </w:p>
    <w:p>
      <w:pPr>
        <w:pStyle w:val="FirstParagraph"/>
      </w:pPr>
      <w:r>
        <w:rPr>
          <w:i/>
          <w:iCs/>
        </w:rPr>
        <w:t xml:space="preserve">None</w:t>
      </w:r>
    </w:p>
    <w:bookmarkEnd w:id="143"/>
    <w:bookmarkStart w:id="144" w:name="assessment-26"/>
    <w:p>
      <w:pPr>
        <w:pStyle w:val="berschrift5"/>
      </w:pPr>
      <w:r>
        <w:t xml:space="preserve">Assessment:</w:t>
      </w:r>
    </w:p>
    <w:p>
      <w:pPr>
        <w:pStyle w:val="Compact"/>
        <w:numPr>
          <w:ilvl w:val="0"/>
          <w:numId w:val="1062"/>
        </w:numPr>
      </w:pPr>
      <w:r>
        <w:t xml:space="preserve">Threshold Self-Assessment:</w:t>
      </w:r>
    </w:p>
    <w:p>
      <w:pPr>
        <w:pStyle w:val="Compact"/>
        <w:numPr>
          <w:ilvl w:val="0"/>
          <w:numId w:val="1062"/>
        </w:numPr>
      </w:pPr>
      <w:r>
        <w:t xml:space="preserve">Goal Self-Assessment:</w:t>
      </w:r>
    </w:p>
    <w:p>
      <w:pPr>
        <w:pStyle w:val="Compact"/>
        <w:numPr>
          <w:ilvl w:val="0"/>
          <w:numId w:val="1062"/>
        </w:numPr>
      </w:pPr>
      <w:r>
        <w:t xml:space="preserve">Self-Assessment Explanation/ Justification:</w:t>
      </w:r>
    </w:p>
    <w:p>
      <w:pPr>
        <w:pStyle w:val="Compact"/>
        <w:numPr>
          <w:ilvl w:val="0"/>
          <w:numId w:val="1062"/>
        </w:numPr>
      </w:pPr>
      <w:r>
        <w:t xml:space="preserve">Recommended Requirement Modification:</w:t>
      </w:r>
    </w:p>
    <w:p>
      <w:r>
        <w:pict>
          <v:rect style="width:0;height:1.5pt" o:hralign="center" o:hrstd="t" o:hr="t"/>
        </w:pict>
      </w:r>
    </w:p>
    <w:bookmarkEnd w:id="144"/>
    <w:bookmarkEnd w:id="145"/>
    <w:bookmarkStart w:id="149" w:name="sec:prd.metadata-image-size"/>
    <w:p>
      <w:pPr>
        <w:pStyle w:val="berschrift4"/>
      </w:pPr>
      <w:r>
        <w:rPr>
          <w:rStyle w:val="VerbatimChar"/>
        </w:rPr>
        <w:t xml:space="preserve">3.10.</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46" w:name="threshold-requirements-27"/>
    <w:p>
      <w:pPr>
        <w:pStyle w:val="berschrift5"/>
      </w:pPr>
      <w:r>
        <w:t xml:space="preserve">Threshold requirements:</w:t>
      </w:r>
    </w:p>
    <w:p>
      <w:pPr>
        <w:pStyle w:val="FirstParagraph"/>
      </w:pPr>
      <w:r>
        <w:t xml:space="preserve">Image attributes:</w:t>
      </w:r>
    </w:p>
    <w:p>
      <w:pPr>
        <w:pStyle w:val="Compact"/>
        <w:numPr>
          <w:ilvl w:val="0"/>
          <w:numId w:val="1063"/>
        </w:numPr>
      </w:pPr>
      <w:r>
        <w:t xml:space="preserve">Number of lines</w:t>
      </w:r>
    </w:p>
    <w:p>
      <w:pPr>
        <w:pStyle w:val="Compact"/>
        <w:numPr>
          <w:ilvl w:val="0"/>
          <w:numId w:val="1063"/>
        </w:numPr>
      </w:pPr>
      <w:r>
        <w:t xml:space="preserve">Number of pixels per line</w:t>
      </w:r>
    </w:p>
    <w:p>
      <w:pPr>
        <w:pStyle w:val="Compact"/>
        <w:numPr>
          <w:ilvl w:val="0"/>
          <w:numId w:val="1063"/>
        </w:numPr>
      </w:pPr>
      <w:r>
        <w:t xml:space="preserve">File header size (if applicable)</w:t>
      </w:r>
    </w:p>
    <w:p>
      <w:pPr>
        <w:pStyle w:val="Compact"/>
        <w:numPr>
          <w:ilvl w:val="0"/>
          <w:numId w:val="1063"/>
        </w:numPr>
      </w:pPr>
      <w:r>
        <w:t xml:space="preserve">Number of no-data border pixels (if applicable)</w:t>
      </w:r>
    </w:p>
    <w:bookmarkEnd w:id="146"/>
    <w:bookmarkStart w:id="147" w:name="goal-requirements-27"/>
    <w:p>
      <w:pPr>
        <w:pStyle w:val="berschrift5"/>
      </w:pPr>
      <w:r>
        <w:t xml:space="preserve">Goal requirements:</w:t>
      </w:r>
    </w:p>
    <w:p>
      <w:pPr>
        <w:pStyle w:val="FirstParagraph"/>
      </w:pPr>
      <w:r>
        <w:rPr>
          <w:i/>
          <w:iCs/>
        </w:rPr>
        <w:t xml:space="preserve">None</w:t>
      </w:r>
    </w:p>
    <w:bookmarkEnd w:id="147"/>
    <w:bookmarkStart w:id="148" w:name="assessment-27"/>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48"/>
    <w:bookmarkEnd w:id="149"/>
    <w:bookmarkStart w:id="153" w:name="Xec46cf7db597e44ff2abc275345728e361b06e7"/>
    <w:p>
      <w:pPr>
        <w:pStyle w:val="berschrift4"/>
      </w:pPr>
      <w:r>
        <w:rPr>
          <w:rStyle w:val="VerbatimChar"/>
        </w:rPr>
        <w:t xml:space="preserve">3.11.</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50" w:name="threshold-requirements-28"/>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50"/>
    <w:bookmarkStart w:id="151" w:name="goal-requirements-28"/>
    <w:p>
      <w:pPr>
        <w:pStyle w:val="berschrift5"/>
      </w:pPr>
      <w:r>
        <w:t xml:space="preserve">Goal requirements:</w:t>
      </w:r>
    </w:p>
    <w:p>
      <w:pPr>
        <w:pStyle w:val="FirstParagraph"/>
      </w:pPr>
      <w:r>
        <w:rPr>
          <w:i/>
          <w:iCs/>
        </w:rPr>
        <w:t xml:space="preserve">None</w:t>
      </w:r>
    </w:p>
    <w:bookmarkEnd w:id="151"/>
    <w:bookmarkStart w:id="152" w:name="assessment-2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2"/>
    <w:bookmarkEnd w:id="153"/>
    <w:bookmarkStart w:id="157" w:name="sec:prd.metadata-crs"/>
    <w:p>
      <w:pPr>
        <w:pStyle w:val="berschrift4"/>
      </w:pPr>
      <w:r>
        <w:rPr>
          <w:rStyle w:val="VerbatimChar"/>
        </w:rPr>
        <w:t xml:space="preserve">3.12.</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54" w:name="threshold-requirements-29"/>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54"/>
    <w:bookmarkStart w:id="155" w:name="goal-requirements-29"/>
    <w:p>
      <w:pPr>
        <w:pStyle w:val="berschrift5"/>
      </w:pPr>
      <w:r>
        <w:t xml:space="preserve">Goal requirements:</w:t>
      </w:r>
    </w:p>
    <w:p>
      <w:pPr>
        <w:pStyle w:val="FirstParagraph"/>
      </w:pPr>
      <w:r>
        <w:rPr>
          <w:i/>
          <w:iCs/>
        </w:rPr>
        <w:t xml:space="preserve">None</w:t>
      </w:r>
    </w:p>
    <w:bookmarkEnd w:id="155"/>
    <w:bookmarkStart w:id="156" w:name="assessment-29"/>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Goal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bookmarkEnd w:id="156"/>
    <w:bookmarkEnd w:id="157"/>
    <w:bookmarkEnd w:id="158"/>
    <w:bookmarkStart w:id="199"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2"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9" w:name="threshold-requirements-30"/>
    <w:p>
      <w:pPr>
        <w:pStyle w:val="berschrift5"/>
      </w:pPr>
      <w:r>
        <w:t xml:space="preserve">Threshold requirements:</w:t>
      </w:r>
    </w:p>
    <w:p>
      <w:pPr>
        <w:pStyle w:val="FirstParagraph"/>
      </w:pPr>
      <w:r>
        <w:rPr>
          <w:i/>
          <w:iCs/>
        </w:rPr>
        <w:t xml:space="preserve">None</w:t>
      </w:r>
    </w:p>
    <w:bookmarkEnd w:id="159"/>
    <w:bookmarkStart w:id="160" w:name="goal-requirements-30"/>
    <w:p>
      <w:pPr>
        <w:pStyle w:val="berschrift5"/>
      </w:pPr>
      <w:r>
        <w:t xml:space="preserve">Goal requirements:</w:t>
      </w:r>
    </w:p>
    <w:p>
      <w:pPr>
        <w:pStyle w:val="FirstParagraph"/>
      </w:pPr>
      <w:r>
        <w:t xml:space="preserve">All files are provided using cloud-optimized file formats.</w:t>
      </w:r>
    </w:p>
    <w:bookmarkEnd w:id="160"/>
    <w:bookmarkStart w:id="161" w:name="assessment-30"/>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p>
      <w:r>
        <w:pict>
          <v:rect style="width:0;height:1.5pt" o:hralign="center" o:hrstd="t" o:hr="t"/>
        </w:pict>
      </w:r>
    </w:p>
    <w:bookmarkEnd w:id="161"/>
    <w:bookmarkEnd w:id="162"/>
    <w:bookmarkStart w:id="166"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3"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3"/>
    <w:bookmarkStart w:id="164"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4"/>
    <w:bookmarkStart w:id="165" w:name="assessment-31"/>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Goal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p>
      <w:r>
        <w:pict>
          <v:rect style="width:0;height:1.5pt" o:hralign="center" o:hrstd="t" o:hr="t"/>
        </w:pict>
      </w:r>
    </w:p>
    <w:bookmarkEnd w:id="165"/>
    <w:bookmarkEnd w:id="166"/>
    <w:bookmarkStart w:id="170"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7" w:name="threshold-requirements-32"/>
    <w:p>
      <w:pPr>
        <w:pStyle w:val="berschrift5"/>
      </w:pPr>
      <w:r>
        <w:t xml:space="preserve">Threshold requirements:</w:t>
      </w:r>
    </w:p>
    <w:p>
      <w:pPr>
        <w:pStyle w:val="FirstParagraph"/>
      </w:pPr>
      <w:r>
        <w:t xml:space="preserve">Mask image indicating:</w:t>
      </w:r>
    </w:p>
    <w:p>
      <w:pPr>
        <w:pStyle w:val="Compact"/>
        <w:numPr>
          <w:ilvl w:val="0"/>
          <w:numId w:val="1069"/>
        </w:numPr>
      </w:pPr>
      <w:r>
        <w:t xml:space="preserve">Valid data</w:t>
      </w:r>
    </w:p>
    <w:p>
      <w:pPr>
        <w:pStyle w:val="Compact"/>
        <w:numPr>
          <w:ilvl w:val="0"/>
          <w:numId w:val="1069"/>
        </w:numPr>
      </w:pPr>
      <w:r>
        <w:t xml:space="preserve">Invalid data</w:t>
      </w:r>
    </w:p>
    <w:p>
      <w:pPr>
        <w:pStyle w:val="Compact"/>
        <w:numPr>
          <w:ilvl w:val="0"/>
          <w:numId w:val="1069"/>
        </w:numPr>
      </w:pPr>
      <w:r>
        <w:t xml:space="preserve">No data</w:t>
      </w:r>
    </w:p>
    <w:p>
      <w:pPr>
        <w:pStyle w:val="FirstParagraph"/>
      </w:pPr>
      <w:r>
        <w:t xml:space="preserve">File format specifications/contents provided in metadata:</w:t>
      </w:r>
    </w:p>
    <w:p>
      <w:pPr>
        <w:pStyle w:val="Compact"/>
        <w:numPr>
          <w:ilvl w:val="0"/>
          <w:numId w:val="1070"/>
        </w:numPr>
      </w:pPr>
      <w:r>
        <w:t xml:space="preserve">Sample Type (Mask)</w:t>
      </w:r>
    </w:p>
    <w:p>
      <w:pPr>
        <w:pStyle w:val="Compact"/>
        <w:numPr>
          <w:ilvl w:val="0"/>
          <w:numId w:val="1070"/>
        </w:numPr>
      </w:pPr>
      <w:r>
        <w:t xml:space="preserve">Data Format (GeoTIFF, HDF5, NetCDF, …)</w:t>
      </w:r>
    </w:p>
    <w:p>
      <w:pPr>
        <w:pStyle w:val="Compact"/>
        <w:numPr>
          <w:ilvl w:val="0"/>
          <w:numId w:val="1070"/>
        </w:numPr>
      </w:pPr>
      <w:r>
        <w:t xml:space="preserve">Data Type (Int, Float, …)</w:t>
      </w:r>
    </w:p>
    <w:p>
      <w:pPr>
        <w:pStyle w:val="Compact"/>
        <w:numPr>
          <w:ilvl w:val="0"/>
          <w:numId w:val="1070"/>
        </w:numPr>
      </w:pPr>
      <w:r>
        <w:t xml:space="preserve">Bits per Sample</w:t>
      </w:r>
    </w:p>
    <w:p>
      <w:pPr>
        <w:pStyle w:val="Compact"/>
        <w:numPr>
          <w:ilvl w:val="0"/>
          <w:numId w:val="1070"/>
        </w:numPr>
      </w:pPr>
      <w:r>
        <w:t xml:space="preserve">Byte Order</w:t>
      </w:r>
    </w:p>
    <w:p>
      <w:pPr>
        <w:pStyle w:val="Compact"/>
        <w:numPr>
          <w:ilvl w:val="0"/>
          <w:numId w:val="1070"/>
        </w:numPr>
      </w:pPr>
      <w:r>
        <w:t xml:space="preserve">Bit Value Representation</w:t>
      </w:r>
    </w:p>
    <w:bookmarkEnd w:id="167"/>
    <w:bookmarkStart w:id="168"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71"/>
        </w:numPr>
      </w:pPr>
      <w:r>
        <w:t xml:space="preserve">Layover (masked as invalid data in threshold)</w:t>
      </w:r>
    </w:p>
    <w:p>
      <w:pPr>
        <w:pStyle w:val="Compact"/>
        <w:numPr>
          <w:ilvl w:val="0"/>
          <w:numId w:val="1071"/>
        </w:numPr>
      </w:pPr>
      <w:r>
        <w:t xml:space="preserve">Radar shadow (masked as invalid data in threshold)</w:t>
      </w:r>
    </w:p>
    <w:p>
      <w:pPr>
        <w:pStyle w:val="Compact"/>
        <w:numPr>
          <w:ilvl w:val="0"/>
          <w:numId w:val="1071"/>
        </w:numPr>
      </w:pPr>
      <w:r>
        <w:t xml:space="preserve">Ocean water</w:t>
      </w:r>
    </w:p>
    <w:p>
      <w:pPr>
        <w:pStyle w:val="Compact"/>
        <w:numPr>
          <w:ilvl w:val="0"/>
          <w:numId w:val="1071"/>
        </w:numPr>
      </w:pPr>
      <w:r>
        <w:t xml:space="preserve">Land (recommended for ORB)</w:t>
      </w:r>
    </w:p>
    <w:p>
      <w:pPr>
        <w:pStyle w:val="Compact"/>
        <w:numPr>
          <w:ilvl w:val="0"/>
          <w:numId w:val="1071"/>
        </w:numPr>
      </w:pPr>
      <w:r>
        <w:t xml:space="preserve">RTC applied (e.g., for maritime scenes with land samples for which RTC has been applied)</w:t>
      </w:r>
    </w:p>
    <w:p>
      <w:pPr>
        <w:pStyle w:val="Compact"/>
        <w:numPr>
          <w:ilvl w:val="0"/>
          <w:numId w:val="1071"/>
        </w:numPr>
      </w:pPr>
      <w:r>
        <w:t xml:space="preserve">DEM gap filling (i.e., interpolated DEM over gaps)</w:t>
      </w:r>
    </w:p>
    <w:bookmarkEnd w:id="168"/>
    <w:bookmarkStart w:id="169" w:name="assessment-32"/>
    <w:p>
      <w:pPr>
        <w:pStyle w:val="berschrift5"/>
      </w:pPr>
      <w:r>
        <w:t xml:space="preserve">Assessment:</w:t>
      </w:r>
    </w:p>
    <w:p>
      <w:pPr>
        <w:pStyle w:val="Compact"/>
        <w:numPr>
          <w:ilvl w:val="0"/>
          <w:numId w:val="1072"/>
        </w:numPr>
      </w:pPr>
      <w:r>
        <w:t xml:space="preserve">Threshold Self-Assessment:</w:t>
      </w:r>
    </w:p>
    <w:p>
      <w:pPr>
        <w:pStyle w:val="Compact"/>
        <w:numPr>
          <w:ilvl w:val="0"/>
          <w:numId w:val="1072"/>
        </w:numPr>
      </w:pPr>
      <w:r>
        <w:t xml:space="preserve">Goal Self-Assessment:</w:t>
      </w:r>
    </w:p>
    <w:p>
      <w:pPr>
        <w:pStyle w:val="Compact"/>
        <w:numPr>
          <w:ilvl w:val="0"/>
          <w:numId w:val="1072"/>
        </w:numPr>
      </w:pPr>
      <w:r>
        <w:t xml:space="preserve">Self-Assessment Explanation/ Justification:</w:t>
      </w:r>
    </w:p>
    <w:p>
      <w:pPr>
        <w:pStyle w:val="Compact"/>
        <w:numPr>
          <w:ilvl w:val="0"/>
          <w:numId w:val="1072"/>
        </w:numPr>
      </w:pPr>
      <w:r>
        <w:t xml:space="preserve">Recommended Requirement Modification:</w:t>
      </w:r>
    </w:p>
    <w:p>
      <w:r>
        <w:pict>
          <v:rect style="width:0;height:1.5pt" o:hralign="center" o:hrstd="t" o:hr="t"/>
        </w:pict>
      </w:r>
    </w:p>
    <w:bookmarkEnd w:id="169"/>
    <w:bookmarkEnd w:id="170"/>
    <w:bookmarkStart w:id="174"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71" w:name="threshold-requirements-33"/>
    <w:p>
      <w:pPr>
        <w:pStyle w:val="berschrift5"/>
      </w:pPr>
      <w:r>
        <w:t xml:space="preserve">Threshold requirements:</w:t>
      </w:r>
    </w:p>
    <w:p>
      <w:pPr>
        <w:pStyle w:val="FirstParagraph"/>
      </w:pPr>
      <w:r>
        <w:rPr>
          <w:i/>
          <w:iCs/>
        </w:rPr>
        <w:t xml:space="preserve">None</w:t>
      </w:r>
    </w:p>
    <w:bookmarkEnd w:id="171"/>
    <w:bookmarkStart w:id="172"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r>
        <w:t xml:space="preserve"> </w:t>
      </w:r>
      <w:r>
        <w:t xml:space="preserve">- Sample Type (Scattering Area)</w:t>
      </w:r>
      <w:r>
        <w:t xml:space="preserve"> </w:t>
      </w:r>
      <w:r>
        <w:t xml:space="preserve">- Data Format (GeoTIFF, HDF5, NetCDF, …)</w:t>
      </w:r>
      <w:r>
        <w:t xml:space="preserve"> </w:t>
      </w:r>
      <w:r>
        <w:t xml:space="preserve">- Data Type (Int, Float, …)</w:t>
      </w:r>
      <w:r>
        <w:t xml:space="preserve"> </w:t>
      </w:r>
      <w:r>
        <w:t xml:space="preserve">- Bits per Sample</w:t>
      </w:r>
      <w:r>
        <w:t xml:space="preserve"> </w:t>
      </w:r>
      <w:r>
        <w:t xml:space="preserve">- Byte Order</w:t>
      </w:r>
    </w:p>
    <w:bookmarkEnd w:id="172"/>
    <w:bookmarkStart w:id="173" w:name="assessment-33"/>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Goal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173"/>
    <w:bookmarkEnd w:id="174"/>
    <w:bookmarkStart w:id="178"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5"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4"/>
        </w:numPr>
      </w:pPr>
      <w:r>
        <w:t xml:space="preserve">Sample Type (Angle)</w:t>
      </w:r>
    </w:p>
    <w:p>
      <w:pPr>
        <w:pStyle w:val="Compact"/>
        <w:numPr>
          <w:ilvl w:val="0"/>
          <w:numId w:val="1074"/>
        </w:numPr>
      </w:pPr>
      <w:r>
        <w:t xml:space="preserve">Data Format (GeoTIFF, HDF5, NetCDF, …)</w:t>
      </w:r>
    </w:p>
    <w:p>
      <w:pPr>
        <w:pStyle w:val="Compact"/>
        <w:numPr>
          <w:ilvl w:val="0"/>
          <w:numId w:val="1074"/>
        </w:numPr>
      </w:pPr>
      <w:r>
        <w:t xml:space="preserve">Data Type (Int, Float, …)</w:t>
      </w:r>
    </w:p>
    <w:p>
      <w:pPr>
        <w:pStyle w:val="Compact"/>
        <w:numPr>
          <w:ilvl w:val="0"/>
          <w:numId w:val="1074"/>
        </w:numPr>
      </w:pPr>
      <w:r>
        <w:t xml:space="preserve">Bits per Sample</w:t>
      </w:r>
    </w:p>
    <w:p>
      <w:pPr>
        <w:pStyle w:val="Compact"/>
        <w:numPr>
          <w:ilvl w:val="0"/>
          <w:numId w:val="1074"/>
        </w:numPr>
      </w:pPr>
      <w:r>
        <w:t xml:space="preserve">Byte Order</w:t>
      </w:r>
    </w:p>
    <w:p>
      <w:pPr>
        <w:pStyle w:val="FirstParagraph"/>
      </w:pPr>
      <w:r>
        <w:t xml:space="preserve">Notes:</w:t>
      </w:r>
    </w:p>
    <w:p>
      <w:pPr>
        <w:pStyle w:val="Compact"/>
        <w:numPr>
          <w:ilvl w:val="0"/>
          <w:numId w:val="1075"/>
        </w:numPr>
      </w:pPr>
      <w:r>
        <w:t xml:space="preserve">For maritime ORB scenes when no land areas are covered, a geoid model could be used for the calculation of the local incident angle</w:t>
      </w:r>
    </w:p>
    <w:bookmarkEnd w:id="175"/>
    <w:bookmarkStart w:id="176" w:name="goal-requirements-34"/>
    <w:p>
      <w:pPr>
        <w:pStyle w:val="berschrift5"/>
      </w:pPr>
      <w:r>
        <w:t xml:space="preserve">Goal requirements:</w:t>
      </w:r>
    </w:p>
    <w:p>
      <w:pPr>
        <w:pStyle w:val="FirstParagraph"/>
      </w:pPr>
      <w:r>
        <w:rPr>
          <w:i/>
          <w:iCs/>
        </w:rPr>
        <w:t xml:space="preserve">None</w:t>
      </w:r>
    </w:p>
    <w:bookmarkEnd w:id="176"/>
    <w:bookmarkStart w:id="177" w:name="assessment-34"/>
    <w:p>
      <w:pPr>
        <w:pStyle w:val="berschrift5"/>
      </w:pPr>
      <w:r>
        <w:t xml:space="preserve">Assessment:</w:t>
      </w:r>
    </w:p>
    <w:p>
      <w:pPr>
        <w:pStyle w:val="Compact"/>
        <w:numPr>
          <w:ilvl w:val="0"/>
          <w:numId w:val="1076"/>
        </w:numPr>
      </w:pPr>
      <w:r>
        <w:t xml:space="preserve">Threshold Self-Assessment:</w:t>
      </w:r>
    </w:p>
    <w:p>
      <w:pPr>
        <w:pStyle w:val="Compact"/>
        <w:numPr>
          <w:ilvl w:val="0"/>
          <w:numId w:val="1076"/>
        </w:numPr>
      </w:pPr>
      <w:r>
        <w:t xml:space="preserve">Goal Self-Assessment:</w:t>
      </w:r>
    </w:p>
    <w:p>
      <w:pPr>
        <w:pStyle w:val="Compact"/>
        <w:numPr>
          <w:ilvl w:val="0"/>
          <w:numId w:val="1076"/>
        </w:numPr>
      </w:pPr>
      <w:r>
        <w:t xml:space="preserve">Self-Assessment Explanation/ Justification:</w:t>
      </w:r>
    </w:p>
    <w:p>
      <w:pPr>
        <w:pStyle w:val="Compact"/>
        <w:numPr>
          <w:ilvl w:val="0"/>
          <w:numId w:val="1076"/>
        </w:numPr>
      </w:pPr>
      <w:r>
        <w:t xml:space="preserve">Recommended Requirement Modification:</w:t>
      </w:r>
    </w:p>
    <w:p>
      <w:r>
        <w:pict>
          <v:rect style="width:0;height:1.5pt" o:hralign="center" o:hrstd="t" o:hr="t"/>
        </w:pict>
      </w:r>
    </w:p>
    <w:bookmarkEnd w:id="177"/>
    <w:bookmarkEnd w:id="178"/>
    <w:bookmarkStart w:id="182"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9" w:name="threshold-requirements-35"/>
    <w:p>
      <w:pPr>
        <w:pStyle w:val="berschrift5"/>
      </w:pPr>
      <w:r>
        <w:t xml:space="preserve">Threshold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7"/>
        </w:numPr>
      </w:pPr>
      <w:r>
        <w:t xml:space="preserve">Sample Type (Angle)</w:t>
      </w:r>
    </w:p>
    <w:p>
      <w:pPr>
        <w:pStyle w:val="Compact"/>
        <w:numPr>
          <w:ilvl w:val="0"/>
          <w:numId w:val="1077"/>
        </w:numPr>
      </w:pPr>
      <w:r>
        <w:t xml:space="preserve">Data Format (GeoTIFF, HDF5, NetCDF, …)</w:t>
      </w:r>
    </w:p>
    <w:p>
      <w:pPr>
        <w:pStyle w:val="Compact"/>
        <w:numPr>
          <w:ilvl w:val="0"/>
          <w:numId w:val="1077"/>
        </w:numPr>
      </w:pPr>
      <w:r>
        <w:t xml:space="preserve">Data Type (Int, Float, …)</w:t>
      </w:r>
    </w:p>
    <w:p>
      <w:pPr>
        <w:pStyle w:val="Compact"/>
        <w:numPr>
          <w:ilvl w:val="0"/>
          <w:numId w:val="1077"/>
        </w:numPr>
      </w:pPr>
      <w:r>
        <w:t xml:space="preserve">Bits per Sample</w:t>
      </w:r>
    </w:p>
    <w:p>
      <w:pPr>
        <w:pStyle w:val="Compact"/>
        <w:numPr>
          <w:ilvl w:val="0"/>
          <w:numId w:val="1077"/>
        </w:numPr>
      </w:pPr>
      <w:r>
        <w:t xml:space="preserve">Byte Order</w:t>
      </w:r>
    </w:p>
    <w:p>
      <w:pPr>
        <w:pStyle w:val="Compact"/>
        <w:numPr>
          <w:ilvl w:val="0"/>
          <w:numId w:val="1077"/>
        </w:numPr>
      </w:pPr>
      <w:r>
        <w:t xml:space="preserve">Reference Ellipsoid Name</w:t>
      </w:r>
    </w:p>
    <w:p>
      <w:pPr>
        <w:pStyle w:val="FirstParagraph"/>
      </w:pPr>
      <w:r>
        <w:t xml:space="preserve">Notes:</w:t>
      </w:r>
    </w:p>
    <w:p>
      <w:pPr>
        <w:pStyle w:val="Compact"/>
        <w:numPr>
          <w:ilvl w:val="0"/>
          <w:numId w:val="1078"/>
        </w:numPr>
      </w:pPr>
      <w:r>
        <w:t xml:space="preserve">For maritime ORB scenes when no land areas are covered, a geoid model could be used for the calculation of the local incident angle</w:t>
      </w:r>
    </w:p>
    <w:bookmarkEnd w:id="179"/>
    <w:bookmarkStart w:id="180" w:name="goal-requirements-35"/>
    <w:p>
      <w:pPr>
        <w:pStyle w:val="berschrift5"/>
      </w:pPr>
      <w:r>
        <w:t xml:space="preserve">Goal requirements:</w:t>
      </w:r>
    </w:p>
    <w:p>
      <w:pPr>
        <w:pStyle w:val="FirstParagraph"/>
      </w:pPr>
      <w:r>
        <w:rPr>
          <w:i/>
          <w:iCs/>
        </w:rPr>
        <w:t xml:space="preserve">None</w:t>
      </w:r>
    </w:p>
    <w:bookmarkEnd w:id="180"/>
    <w:bookmarkStart w:id="181" w:name="assessment-35"/>
    <w:p>
      <w:pPr>
        <w:pStyle w:val="berschrift5"/>
      </w:pPr>
      <w:r>
        <w:t xml:space="preserve">Assessment:</w:t>
      </w:r>
    </w:p>
    <w:p>
      <w:pPr>
        <w:pStyle w:val="Compact"/>
        <w:numPr>
          <w:ilvl w:val="0"/>
          <w:numId w:val="1079"/>
        </w:numPr>
      </w:pPr>
      <w:r>
        <w:t xml:space="preserve">Threshold Self-Assessment:</w:t>
      </w:r>
    </w:p>
    <w:p>
      <w:pPr>
        <w:pStyle w:val="Compact"/>
        <w:numPr>
          <w:ilvl w:val="0"/>
          <w:numId w:val="1079"/>
        </w:numPr>
      </w:pPr>
      <w:r>
        <w:t xml:space="preserve">Goal Self-Assessment:</w:t>
      </w:r>
    </w:p>
    <w:p>
      <w:pPr>
        <w:pStyle w:val="Compact"/>
        <w:numPr>
          <w:ilvl w:val="0"/>
          <w:numId w:val="1079"/>
        </w:numPr>
      </w:pPr>
      <w:r>
        <w:t xml:space="preserve">Self-Assessment Explanation/ Justification:</w:t>
      </w:r>
    </w:p>
    <w:p>
      <w:pPr>
        <w:pStyle w:val="Compact"/>
        <w:numPr>
          <w:ilvl w:val="0"/>
          <w:numId w:val="1079"/>
        </w:numPr>
      </w:pPr>
      <w:r>
        <w:t xml:space="preserve">Recommended Requirement Modification:</w:t>
      </w:r>
    </w:p>
    <w:p>
      <w:r>
        <w:pict>
          <v:rect style="width:0;height:1.5pt" o:hralign="center" o:hrstd="t" o:hr="t"/>
        </w:pict>
      </w:r>
    </w:p>
    <w:bookmarkEnd w:id="181"/>
    <w:bookmarkEnd w:id="182"/>
    <w:bookmarkStart w:id="186"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3" w:name="threshold-requirements-36"/>
    <w:p>
      <w:pPr>
        <w:pStyle w:val="berschrift5"/>
      </w:pPr>
      <w:r>
        <w:t xml:space="preserve">Threshold requirements:</w:t>
      </w:r>
    </w:p>
    <w:p>
      <w:pPr>
        <w:pStyle w:val="FirstParagraph"/>
      </w:pPr>
      <w:r>
        <w:rPr>
          <w:i/>
          <w:iCs/>
        </w:rPr>
        <w:t xml:space="preserve">None</w:t>
      </w:r>
    </w:p>
    <w:bookmarkEnd w:id="183"/>
    <w:bookmarkStart w:id="184"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80"/>
        </w:numPr>
      </w:pPr>
      <w:r>
        <w:t xml:space="preserve">Sample Type (Gamma-Nought, Sigma-Nought, Beta-Nought)</w:t>
      </w:r>
    </w:p>
    <w:p>
      <w:pPr>
        <w:pStyle w:val="Compact"/>
        <w:numPr>
          <w:ilvl w:val="0"/>
          <w:numId w:val="1080"/>
        </w:numPr>
      </w:pPr>
      <w:r>
        <w:t xml:space="preserve">Data Format (GeoTIFF, HDF5, NetCDF, …)</w:t>
      </w:r>
    </w:p>
    <w:p>
      <w:pPr>
        <w:pStyle w:val="Compact"/>
        <w:numPr>
          <w:ilvl w:val="0"/>
          <w:numId w:val="1080"/>
        </w:numPr>
      </w:pPr>
      <w:r>
        <w:t xml:space="preserve">Data Type (Int, Float, …)</w:t>
      </w:r>
    </w:p>
    <w:p>
      <w:pPr>
        <w:pStyle w:val="Compact"/>
        <w:numPr>
          <w:ilvl w:val="0"/>
          <w:numId w:val="1080"/>
        </w:numPr>
      </w:pPr>
      <w:r>
        <w:t xml:space="preserve">Bits per Sample</w:t>
      </w:r>
    </w:p>
    <w:p>
      <w:pPr>
        <w:pStyle w:val="Compact"/>
        <w:numPr>
          <w:ilvl w:val="0"/>
          <w:numId w:val="1080"/>
        </w:numPr>
      </w:pPr>
      <w:r>
        <w:t xml:space="preserve">Byte Order</w:t>
      </w:r>
    </w:p>
    <w:bookmarkEnd w:id="184"/>
    <w:bookmarkStart w:id="185" w:name="assessment-36"/>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Goal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185"/>
    <w:bookmarkEnd w:id="186"/>
    <w:bookmarkStart w:id="190" w:name="sec:pxl.per-pixel-gamma-sigma-ratio"/>
    <w:p>
      <w:pPr>
        <w:pStyle w:val="berschrift4"/>
      </w:pPr>
      <w:r>
        <w:rPr>
          <w:rStyle w:val="VerbatimChar"/>
        </w:rPr>
        <w:t xml:space="preserve">4.8.</w:t>
      </w:r>
      <w:r>
        <w:t xml:space="preserve"> </w:t>
      </w:r>
      <w:r>
        <w:t xml:space="preserve">Per-Pixel Metadata: Gamma-to-Sigma Ratio Image</w:t>
      </w:r>
    </w:p>
    <w:p>
      <w:pPr>
        <w:pStyle w:val="FirstParagraph"/>
      </w:pPr>
      <w:r>
        <w:t xml:space="preserve">Identifier:</w:t>
      </w:r>
      <w:r>
        <w:t xml:space="preserve"> </w:t>
      </w:r>
      <w:r>
        <w:rPr>
          <w:rStyle w:val="VerbatimChar"/>
        </w:rPr>
        <w:t xml:space="preserve">pxl.per-pixel-gamma-sigma-ratio</w:t>
      </w:r>
    </w:p>
    <w:bookmarkStart w:id="187" w:name="threshold-requirements-37"/>
    <w:p>
      <w:pPr>
        <w:pStyle w:val="berschrift5"/>
      </w:pPr>
      <w:r>
        <w:t xml:space="preserve">Threshold requirements:</w:t>
      </w:r>
    </w:p>
    <w:p>
      <w:pPr>
        <w:pStyle w:val="FirstParagraph"/>
      </w:pPr>
      <w:r>
        <w:rPr>
          <w:i/>
          <w:iCs/>
        </w:rPr>
        <w:t xml:space="preserve">None</w:t>
      </w:r>
    </w:p>
    <w:bookmarkEnd w:id="187"/>
    <w:bookmarkStart w:id="188" w:name="goal-requirements-37"/>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82"/>
        </w:numPr>
      </w:pPr>
      <w:r>
        <w:t xml:space="preserve">Sample Type (Ratio)</w:t>
      </w:r>
    </w:p>
    <w:p>
      <w:pPr>
        <w:pStyle w:val="Compact"/>
        <w:numPr>
          <w:ilvl w:val="0"/>
          <w:numId w:val="1082"/>
        </w:numPr>
      </w:pPr>
      <w:r>
        <w:t xml:space="preserve">Data Format (GeoTIFF, HDF5, NetCDF, …)</w:t>
      </w:r>
    </w:p>
    <w:p>
      <w:pPr>
        <w:pStyle w:val="Compact"/>
        <w:numPr>
          <w:ilvl w:val="0"/>
          <w:numId w:val="1082"/>
        </w:numPr>
      </w:pPr>
      <w:r>
        <w:t xml:space="preserve">Data Type (Int, Float, …)</w:t>
      </w:r>
    </w:p>
    <w:p>
      <w:pPr>
        <w:pStyle w:val="Compact"/>
        <w:numPr>
          <w:ilvl w:val="0"/>
          <w:numId w:val="1082"/>
        </w:numPr>
      </w:pPr>
      <w:r>
        <w:t xml:space="preserve">Bits per Sample</w:t>
      </w:r>
    </w:p>
    <w:p>
      <w:pPr>
        <w:pStyle w:val="Compact"/>
        <w:numPr>
          <w:ilvl w:val="0"/>
          <w:numId w:val="1082"/>
        </w:numPr>
      </w:pPr>
      <w:r>
        <w:t xml:space="preserve">Byte Order</w:t>
      </w:r>
    </w:p>
    <w:bookmarkEnd w:id="188"/>
    <w:bookmarkStart w:id="189" w:name="assessment-37"/>
    <w:p>
      <w:pPr>
        <w:pStyle w:val="berschrift5"/>
      </w:pPr>
      <w:r>
        <w:t xml:space="preserve">Assessment:</w:t>
      </w:r>
    </w:p>
    <w:p>
      <w:pPr>
        <w:pStyle w:val="Compact"/>
        <w:numPr>
          <w:ilvl w:val="0"/>
          <w:numId w:val="1083"/>
        </w:numPr>
      </w:pPr>
      <w:r>
        <w:t xml:space="preserve">Threshold Self-Assessment:</w:t>
      </w:r>
    </w:p>
    <w:p>
      <w:pPr>
        <w:pStyle w:val="Compact"/>
        <w:numPr>
          <w:ilvl w:val="0"/>
          <w:numId w:val="1083"/>
        </w:numPr>
      </w:pPr>
      <w:r>
        <w:t xml:space="preserve">Goal Self-Assessment:</w:t>
      </w:r>
    </w:p>
    <w:p>
      <w:pPr>
        <w:pStyle w:val="Compact"/>
        <w:numPr>
          <w:ilvl w:val="0"/>
          <w:numId w:val="1083"/>
        </w:numPr>
      </w:pPr>
      <w:r>
        <w:t xml:space="preserve">Self-Assessment Explanation/ Justification:</w:t>
      </w:r>
    </w:p>
    <w:p>
      <w:pPr>
        <w:pStyle w:val="Compact"/>
        <w:numPr>
          <w:ilvl w:val="0"/>
          <w:numId w:val="1083"/>
        </w:numPr>
      </w:pPr>
      <w:r>
        <w:t xml:space="preserve">Recommended Requirement Modification:</w:t>
      </w:r>
    </w:p>
    <w:p>
      <w:r>
        <w:pict>
          <v:rect style="width:0;height:1.5pt" o:hralign="center" o:hrstd="t" o:hr="t"/>
        </w:pict>
      </w:r>
    </w:p>
    <w:bookmarkEnd w:id="189"/>
    <w:bookmarkEnd w:id="190"/>
    <w:bookmarkStart w:id="194" w:name="sec:pxl.per-pixel-acquisition-id"/>
    <w:p>
      <w:pPr>
        <w:pStyle w:val="berschrift4"/>
      </w:pPr>
      <w:r>
        <w:rPr>
          <w:rStyle w:val="VerbatimChar"/>
        </w:rPr>
        <w:t xml:space="preserve">4.9.</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91" w:name="threshold-requirements-38"/>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source acquisition ID (i.e., Section </w:t>
      </w:r>
      <w:r>
        <w:t xml:space="preserve">“</w:t>
      </w:r>
      <w:hyperlink w:anchor="sec:src.metadata-sequential-id">
        <w:r>
          <w:rPr>
            <w:rStyle w:val="Hyperlink"/>
          </w:rPr>
          <w:t xml:space="preserve">Source Metadata: Sequential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4"/>
        </w:numPr>
      </w:pPr>
      <w:r>
        <w:t xml:space="preserve">Sample type (Day, Time, ID)</w:t>
      </w:r>
    </w:p>
    <w:p>
      <w:pPr>
        <w:pStyle w:val="Compact"/>
        <w:numPr>
          <w:ilvl w:val="0"/>
          <w:numId w:val="1084"/>
        </w:numPr>
      </w:pPr>
      <w:r>
        <w:t xml:space="preserve">Data Format (GeoTIFF, HDF5, NetCDF, …)</w:t>
      </w:r>
    </w:p>
    <w:p>
      <w:pPr>
        <w:pStyle w:val="Compact"/>
        <w:numPr>
          <w:ilvl w:val="0"/>
          <w:numId w:val="1084"/>
        </w:numPr>
      </w:pPr>
      <w:r>
        <w:t xml:space="preserve">Data Type (Int, Float, …)</w:t>
      </w:r>
    </w:p>
    <w:p>
      <w:pPr>
        <w:pStyle w:val="Compact"/>
        <w:numPr>
          <w:ilvl w:val="0"/>
          <w:numId w:val="1084"/>
        </w:numPr>
      </w:pPr>
      <w:r>
        <w:t xml:space="preserve">Bits per sample</w:t>
      </w:r>
    </w:p>
    <w:p>
      <w:pPr>
        <w:pStyle w:val="Compact"/>
        <w:numPr>
          <w:ilvl w:val="0"/>
          <w:numId w:val="1084"/>
        </w:numPr>
      </w:pPr>
      <w:r>
        <w:t xml:space="preserve">Byte Order</w:t>
      </w:r>
    </w:p>
    <w:bookmarkEnd w:id="191"/>
    <w:bookmarkStart w:id="192" w:name="goal-requirements-38"/>
    <w:p>
      <w:pPr>
        <w:pStyle w:val="berschrift5"/>
      </w:pPr>
      <w:r>
        <w:t xml:space="preserve">Goal requirements:</w:t>
      </w:r>
    </w:p>
    <w:p>
      <w:pPr>
        <w:pStyle w:val="FirstParagraph"/>
      </w:pPr>
      <w:r>
        <w:t xml:space="preserve">In case of image composites, the sources for each pixel are uniquely identified.</w:t>
      </w:r>
    </w:p>
    <w:bookmarkEnd w:id="192"/>
    <w:bookmarkStart w:id="193" w:name="assessment-38"/>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Goal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p>
      <w:r>
        <w:pict>
          <v:rect style="width:0;height:1.5pt" o:hralign="center" o:hrstd="t" o:hr="t"/>
        </w:pict>
      </w:r>
    </w:p>
    <w:bookmarkEnd w:id="193"/>
    <w:bookmarkEnd w:id="194"/>
    <w:bookmarkStart w:id="198" w:name="sec:pxl.per-pixel-dem"/>
    <w:p>
      <w:pPr>
        <w:pStyle w:val="berschrift4"/>
      </w:pPr>
      <w:r>
        <w:rPr>
          <w:rStyle w:val="VerbatimChar"/>
        </w:rPr>
        <w:t xml:space="preserve">4.10.</w:t>
      </w:r>
      <w:r>
        <w:t xml:space="preserve"> </w:t>
      </w:r>
      <w:r>
        <w:t xml:space="preserve">Per-Pixel Metadata: DEM</w:t>
      </w:r>
    </w:p>
    <w:p>
      <w:pPr>
        <w:pStyle w:val="FirstParagraph"/>
      </w:pPr>
      <w:r>
        <w:t xml:space="preserve">Identifier:</w:t>
      </w:r>
      <w:r>
        <w:t xml:space="preserve"> </w:t>
      </w:r>
      <w:r>
        <w:rPr>
          <w:rStyle w:val="VerbatimChar"/>
        </w:rPr>
        <w:t xml:space="preserve">pxl.per-pixel-dem</w:t>
      </w:r>
    </w:p>
    <w:bookmarkStart w:id="195" w:name="threshold-requirements-39"/>
    <w:p>
      <w:pPr>
        <w:pStyle w:val="berschrift5"/>
      </w:pPr>
      <w:r>
        <w:t xml:space="preserve">Threshold requirements:</w:t>
      </w:r>
    </w:p>
    <w:p>
      <w:pPr>
        <w:pStyle w:val="FirstParagraph"/>
      </w:pPr>
      <w:r>
        <w:rPr>
          <w:i/>
          <w:iCs/>
        </w:rPr>
        <w:t xml:space="preserve">None</w:t>
      </w:r>
    </w:p>
    <w:bookmarkEnd w:id="195"/>
    <w:bookmarkStart w:id="196" w:name="goal-requirements-39"/>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86"/>
        </w:numPr>
      </w:pPr>
      <w:r>
        <w:t xml:space="preserve">Sample Type (Height)</w:t>
      </w:r>
    </w:p>
    <w:p>
      <w:pPr>
        <w:pStyle w:val="Compact"/>
        <w:numPr>
          <w:ilvl w:val="0"/>
          <w:numId w:val="1086"/>
        </w:numPr>
      </w:pPr>
      <w:r>
        <w:t xml:space="preserve">Data Format (GeoTIFF, HDF5, NetCDF, …)</w:t>
      </w:r>
    </w:p>
    <w:p>
      <w:pPr>
        <w:pStyle w:val="Compact"/>
        <w:numPr>
          <w:ilvl w:val="0"/>
          <w:numId w:val="1086"/>
        </w:numPr>
      </w:pPr>
      <w:r>
        <w:t xml:space="preserve">Data Type (Int, Float, …)</w:t>
      </w:r>
    </w:p>
    <w:p>
      <w:pPr>
        <w:pStyle w:val="Compact"/>
        <w:numPr>
          <w:ilvl w:val="0"/>
          <w:numId w:val="1086"/>
        </w:numPr>
      </w:pPr>
      <w:r>
        <w:t xml:space="preserve">Bits per Sample</w:t>
      </w:r>
    </w:p>
    <w:p>
      <w:pPr>
        <w:pStyle w:val="Compact"/>
        <w:numPr>
          <w:ilvl w:val="0"/>
          <w:numId w:val="1086"/>
        </w:numPr>
      </w:pPr>
      <w:r>
        <w:t xml:space="preserve">Byte Order</w:t>
      </w:r>
    </w:p>
    <w:bookmarkEnd w:id="196"/>
    <w:bookmarkStart w:id="197" w:name="assessment-39"/>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Goal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bookmarkEnd w:id="197"/>
    <w:bookmarkEnd w:id="198"/>
    <w:bookmarkEnd w:id="199"/>
    <w:bookmarkStart w:id="228"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03"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200" w:name="threshold-requirements-40"/>
    <w:p>
      <w:pPr>
        <w:pStyle w:val="berschrift5"/>
      </w:pPr>
      <w:r>
        <w:t xml:space="preserve">Threshold requirements:</w:t>
      </w:r>
    </w:p>
    <w:p>
      <w:pPr>
        <w:pStyle w:val="FirstParagraph"/>
      </w:pPr>
      <w:r>
        <w:rPr>
          <w:i/>
          <w:iCs/>
        </w:rPr>
        <w:t xml:space="preserve">None</w:t>
      </w:r>
    </w:p>
    <w:bookmarkEnd w:id="200"/>
    <w:bookmarkStart w:id="201" w:name="goal-requirements-40"/>
    <w:p>
      <w:pPr>
        <w:pStyle w:val="berschrift5"/>
      </w:pPr>
      <w:r>
        <w:t xml:space="preserve">Goal requirements:</w:t>
      </w:r>
    </w:p>
    <w:p>
      <w:pPr>
        <w:pStyle w:val="FirstParagraph"/>
      </w:pPr>
      <w:r>
        <w:t xml:space="preserve">All files are provided using cloud-optimized file formats.</w:t>
      </w:r>
    </w:p>
    <w:bookmarkEnd w:id="201"/>
    <w:bookmarkStart w:id="202" w:name="assessment-40"/>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p>
      <w:r>
        <w:pict>
          <v:rect style="width:0;height:1.5pt" o:hralign="center" o:hrstd="t" o:hr="t"/>
        </w:pict>
      </w:r>
    </w:p>
    <w:bookmarkEnd w:id="202"/>
    <w:bookmarkEnd w:id="203"/>
    <w:bookmarkStart w:id="207" w:name="sec:rcm.measurements-backscatter-pol"/>
    <w:p>
      <w:pPr>
        <w:pStyle w:val="berschrift4"/>
      </w:pPr>
      <w:r>
        <w:rPr>
          <w:rStyle w:val="VerbatimChar"/>
        </w:rPr>
        <w:t xml:space="preserve">5.2.</w:t>
      </w:r>
      <w:r>
        <w:t xml:space="preserve"> </w:t>
      </w:r>
      <w:r>
        <w:t xml:space="preserve">Radiometrically Corrected Measurements: Backscatter Measurements [POL]</w:t>
      </w:r>
    </w:p>
    <w:p>
      <w:pPr>
        <w:pStyle w:val="FirstParagraph"/>
      </w:pPr>
      <w:r>
        <w:t xml:space="preserve">Identifier:</w:t>
      </w:r>
      <w:r>
        <w:t xml:space="preserve"> </w:t>
      </w:r>
      <w:r>
        <w:rPr>
          <w:rStyle w:val="VerbatimChar"/>
        </w:rPr>
        <w:t xml:space="preserve">rcm.measurements-backscatter-pol</w:t>
      </w:r>
    </w:p>
    <w:bookmarkStart w:id="204" w:name="threshold-requirements-41"/>
    <w:p>
      <w:pPr>
        <w:pStyle w:val="berschrift5"/>
      </w:pPr>
      <w:r>
        <w:t xml:space="preserve">Threshold requirements:</w:t>
      </w:r>
    </w:p>
    <w:p>
      <w:pPr>
        <w:pStyle w:val="FirstParagraph"/>
      </w:pPr>
      <w:r>
        <w:t xml:space="preserve">Measurements can be one of the following types or both:</w:t>
      </w:r>
    </w:p>
    <w:p>
      <w:pPr>
        <w:pStyle w:val="Compact"/>
        <w:numPr>
          <w:ilvl w:val="0"/>
          <w:numId w:val="1089"/>
        </w:numPr>
      </w:pPr>
      <w:r>
        <w:rPr>
          <w:b/>
          <w:bCs/>
        </w:rPr>
        <w:t xml:space="preserve">Normalised Radar Covariance Matrix (CovMat)</w:t>
      </w:r>
      <w:r>
        <w:t xml:space="preserve"> </w:t>
      </w:r>
      <w:r>
        <w:t xml:space="preserve">Diagonal (equivalent to NRB) and upper diagonal elements of the terrain-flattened Gamma-Nought (</w:t>
      </w:r>
      <m:oMath>
        <m:sSubSup>
          <m:e>
            <m:r>
              <m:t>γ</m:t>
            </m:r>
          </m:e>
          <m:sub>
            <m:r>
              <m:t>T</m:t>
            </m:r>
          </m:sub>
          <m:sup>
            <m:r>
              <m:t>0</m:t>
            </m:r>
          </m:sup>
        </m:sSubSup>
      </m:oMath>
      <w:r>
        <w:t xml:space="preserve">) Covariance Matrix are provided for coherent dual (e.g., HH-HV, VV-VH, or …) and fully polarimetric (e.g., HH-HV-VH-VV) acquisitions.</w:t>
      </w:r>
    </w:p>
    <w:p>
      <w:pPr>
        <w:pStyle w:val="Compact"/>
        <w:numPr>
          <w:ilvl w:val="0"/>
          <w:numId w:val="1089"/>
        </w:numPr>
      </w:pPr>
      <w:r>
        <w:rPr>
          <w:b/>
          <w:bCs/>
        </w:rPr>
        <w:t xml:space="preserve">Polarimetric Radar Decomposition (PRD)</w:t>
      </w:r>
      <w:r>
        <w:t xml:space="preserve"> </w:t>
      </w:r>
      <w:r>
        <w:t xml:space="preserve">The individual components of the polarimetric decomposition obtained from the terrain-flattened (Gamma-Nought,</w:t>
      </w:r>
      <w:r>
        <w:t xml:space="preserve"> </w:t>
      </w:r>
      <m:oMath>
        <m:sSubSup>
          <m:e>
            <m:r>
              <m:t>γ</m:t>
            </m:r>
          </m:e>
          <m:sub>
            <m:r>
              <m:t>T</m:t>
            </m:r>
          </m:sub>
          <m:sup>
            <m:r>
              <m:t>0</m:t>
            </m:r>
          </m:sup>
        </m:sSubSup>
      </m:oMath>
      <w:r>
        <w:t xml:space="preserve">) covariance matrix.</w:t>
      </w:r>
    </w:p>
    <w:p>
      <w:pPr>
        <w:pStyle w:val="FirstParagraph"/>
      </w:pPr>
      <w:r>
        <w:t xml:space="preserve">File format specifications/contents provided in metadata:</w:t>
      </w:r>
    </w:p>
    <w:p>
      <w:pPr>
        <w:pStyle w:val="Compact"/>
        <w:numPr>
          <w:ilvl w:val="0"/>
          <w:numId w:val="1090"/>
        </w:numPr>
      </w:pPr>
      <w:r>
        <w:t xml:space="preserve">Measurement Type (CovMat, PRD)</w:t>
      </w:r>
    </w:p>
    <w:p>
      <w:pPr>
        <w:pStyle w:val="Compact"/>
        <w:numPr>
          <w:ilvl w:val="0"/>
          <w:numId w:val="1090"/>
        </w:numPr>
      </w:pPr>
      <w:r>
        <w:t xml:space="preserve">Measurement convention unit (linear amplitude, linear power, angle)</w:t>
      </w:r>
    </w:p>
    <w:p>
      <w:pPr>
        <w:pStyle w:val="Compact"/>
        <w:numPr>
          <w:ilvl w:val="0"/>
          <w:numId w:val="1090"/>
        </w:numPr>
      </w:pPr>
      <w:r>
        <w:t xml:space="preserve">Individual covariance matrix element or/and Individual component of the decomposition (C3m11, C3m12, … or H, A, alpha, or …)</w:t>
      </w:r>
    </w:p>
    <w:p>
      <w:pPr>
        <w:pStyle w:val="Compact"/>
        <w:numPr>
          <w:ilvl w:val="0"/>
          <w:numId w:val="1090"/>
        </w:numPr>
      </w:pPr>
      <w:r>
        <w:t xml:space="preserve">Data Format (GeoTIFF, HDF5, NetCDF, …)</w:t>
      </w:r>
    </w:p>
    <w:p>
      <w:pPr>
        <w:pStyle w:val="Compact"/>
        <w:numPr>
          <w:ilvl w:val="0"/>
          <w:numId w:val="1090"/>
        </w:numPr>
      </w:pPr>
      <w:r>
        <w:t xml:space="preserve">Data Type (Int, Float, …)</w:t>
      </w:r>
    </w:p>
    <w:p>
      <w:pPr>
        <w:pStyle w:val="Compact"/>
        <w:numPr>
          <w:ilvl w:val="0"/>
          <w:numId w:val="1090"/>
        </w:numPr>
      </w:pPr>
      <w:r>
        <w:t xml:space="preserve">Bits per Sample</w:t>
      </w:r>
    </w:p>
    <w:p>
      <w:pPr>
        <w:pStyle w:val="Compact"/>
        <w:numPr>
          <w:ilvl w:val="0"/>
          <w:numId w:val="1090"/>
        </w:numPr>
      </w:pPr>
      <w:r>
        <w:t xml:space="preserve">Byte Order</w:t>
      </w:r>
    </w:p>
    <w:p>
      <w:pPr>
        <w:pStyle w:val="FirstParagraph"/>
      </w:pPr>
      <w:r>
        <w:t xml:space="preserve">Notes:</w:t>
      </w:r>
    </w:p>
    <w:p>
      <w:pPr>
        <w:pStyle w:val="Compact"/>
        <w:numPr>
          <w:ilvl w:val="0"/>
          <w:numId w:val="1091"/>
        </w:numPr>
      </w:pPr>
      <w:r>
        <w:t xml:space="preserve">It is recommended to keep CovMat or PRD measurement files separated.</w:t>
      </w:r>
      <w:r>
        <w:t xml:space="preserve"> </w:t>
      </w:r>
      <w:r>
        <w:t xml:space="preserve">Otherwise, specify the multi-channel format order (BIP, BIL, BSQ).</w:t>
      </w:r>
    </w:p>
    <w:bookmarkEnd w:id="204"/>
    <w:bookmarkStart w:id="205" w:name="goal-requirements-41"/>
    <w:p>
      <w:pPr>
        <w:pStyle w:val="berschrift5"/>
      </w:pPr>
      <w:r>
        <w:t xml:space="preserve">Goal requirements:</w:t>
      </w:r>
    </w:p>
    <w:p>
      <w:pPr>
        <w:pStyle w:val="FirstParagraph"/>
      </w:pPr>
      <w:r>
        <w:rPr>
          <w:i/>
          <w:iCs/>
        </w:rPr>
        <w:t xml:space="preserve">None</w:t>
      </w:r>
    </w:p>
    <w:bookmarkEnd w:id="205"/>
    <w:bookmarkStart w:id="206" w:name="assessment-41"/>
    <w:p>
      <w:pPr>
        <w:pStyle w:val="berschrift5"/>
      </w:pPr>
      <w:r>
        <w:t xml:space="preserve">Assessment:</w:t>
      </w:r>
    </w:p>
    <w:p>
      <w:pPr>
        <w:pStyle w:val="Compact"/>
        <w:numPr>
          <w:ilvl w:val="0"/>
          <w:numId w:val="1092"/>
        </w:numPr>
      </w:pPr>
      <w:r>
        <w:t xml:space="preserve">Threshold Self-Assessment:</w:t>
      </w:r>
    </w:p>
    <w:p>
      <w:pPr>
        <w:pStyle w:val="Compact"/>
        <w:numPr>
          <w:ilvl w:val="0"/>
          <w:numId w:val="1092"/>
        </w:numPr>
      </w:pPr>
      <w:r>
        <w:t xml:space="preserve">Goal Self-Assessment:</w:t>
      </w:r>
    </w:p>
    <w:p>
      <w:pPr>
        <w:pStyle w:val="Compact"/>
        <w:numPr>
          <w:ilvl w:val="0"/>
          <w:numId w:val="1092"/>
        </w:numPr>
      </w:pPr>
      <w:r>
        <w:t xml:space="preserve">Self-Assessment Explanation/ Justification:</w:t>
      </w:r>
    </w:p>
    <w:p>
      <w:pPr>
        <w:pStyle w:val="Compact"/>
        <w:numPr>
          <w:ilvl w:val="0"/>
          <w:numId w:val="1092"/>
        </w:numPr>
      </w:pPr>
      <w:r>
        <w:t xml:space="preserve">Recommended Requirement Modification:</w:t>
      </w:r>
    </w:p>
    <w:p>
      <w:r>
        <w:pict>
          <v:rect style="width:0;height:1.5pt" o:hralign="center" o:hrstd="t" o:hr="t"/>
        </w:pict>
      </w:r>
    </w:p>
    <w:bookmarkEnd w:id="206"/>
    <w:bookmarkEnd w:id="207"/>
    <w:bookmarkStart w:id="211"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08" w:name="threshold-requirements-42"/>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08"/>
    <w:bookmarkStart w:id="209" w:name="goal-requirements-42"/>
    <w:p>
      <w:pPr>
        <w:pStyle w:val="berschrift5"/>
      </w:pPr>
      <w:r>
        <w:t xml:space="preserve">Goal requirements:</w:t>
      </w:r>
    </w:p>
    <w:p>
      <w:pPr>
        <w:pStyle w:val="FirstParagraph"/>
      </w:pPr>
      <w:r>
        <w:t xml:space="preserve">Use of float32.</w:t>
      </w:r>
    </w:p>
    <w:bookmarkEnd w:id="209"/>
    <w:bookmarkStart w:id="210" w:name="assessment-42"/>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Goal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10"/>
    <w:bookmarkEnd w:id="211"/>
    <w:bookmarkStart w:id="215"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12" w:name="threshold-requirements-43"/>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94"/>
        </w:numPr>
      </w:pPr>
      <w:r>
        <w:t xml:space="preserve">Thermal noise removal and image border noise removal to remove overall scene noise and scene edge artefacts, respectively.</w:t>
      </w:r>
    </w:p>
    <w:bookmarkEnd w:id="212"/>
    <w:bookmarkStart w:id="213" w:name="goal-requirements-43"/>
    <w:p>
      <w:pPr>
        <w:pStyle w:val="berschrift5"/>
      </w:pPr>
      <w:r>
        <w:t xml:space="preserve">Goal requirements:</w:t>
      </w:r>
    </w:p>
    <w:p>
      <w:pPr>
        <w:pStyle w:val="FirstParagraph"/>
      </w:pPr>
      <w:r>
        <w:rPr>
          <w:i/>
          <w:iCs/>
        </w:rPr>
        <w:t xml:space="preserve">None</w:t>
      </w:r>
    </w:p>
    <w:bookmarkEnd w:id="213"/>
    <w:bookmarkStart w:id="214" w:name="assessment-43"/>
    <w:p>
      <w:pPr>
        <w:pStyle w:val="berschrift5"/>
      </w:pPr>
      <w:r>
        <w:t xml:space="preserve">Assessment:</w:t>
      </w:r>
    </w:p>
    <w:p>
      <w:pPr>
        <w:pStyle w:val="Compact"/>
        <w:numPr>
          <w:ilvl w:val="0"/>
          <w:numId w:val="1095"/>
        </w:numPr>
      </w:pPr>
      <w:r>
        <w:t xml:space="preserve">Threshold Self-Assessment:</w:t>
      </w:r>
    </w:p>
    <w:p>
      <w:pPr>
        <w:pStyle w:val="Compact"/>
        <w:numPr>
          <w:ilvl w:val="0"/>
          <w:numId w:val="1095"/>
        </w:numPr>
      </w:pPr>
      <w:r>
        <w:t xml:space="preserve">Goal Self-Assessment:</w:t>
      </w:r>
    </w:p>
    <w:p>
      <w:pPr>
        <w:pStyle w:val="Compact"/>
        <w:numPr>
          <w:ilvl w:val="0"/>
          <w:numId w:val="1095"/>
        </w:numPr>
      </w:pPr>
      <w:r>
        <w:t xml:space="preserve">Self-Assessment Explanation/ Justification:</w:t>
      </w:r>
    </w:p>
    <w:p>
      <w:pPr>
        <w:pStyle w:val="Compact"/>
        <w:numPr>
          <w:ilvl w:val="0"/>
          <w:numId w:val="1095"/>
        </w:numPr>
      </w:pPr>
      <w:r>
        <w:t xml:space="preserve">Recommended Requirement Modification:</w:t>
      </w:r>
    </w:p>
    <w:p>
      <w:r>
        <w:pict>
          <v:rect style="width:0;height:1.5pt" o:hralign="center" o:hrstd="t" o:hr="t"/>
        </w:pict>
      </w:r>
    </w:p>
    <w:bookmarkEnd w:id="214"/>
    <w:bookmarkEnd w:id="215"/>
    <w:bookmarkStart w:id="219" w:name="Xf981818e792e21b770362bad62a8a52b48acfa3"/>
    <w:p>
      <w:pPr>
        <w:pStyle w:val="berschrift4"/>
      </w:pPr>
      <w:r>
        <w:rPr>
          <w:rStyle w:val="VerbatimChar"/>
        </w:rPr>
        <w:t xml:space="preserve">5.5.</w:t>
      </w:r>
      <w:r>
        <w:t xml:space="preserve"> </w:t>
      </w:r>
      <w:r>
        <w:t xml:space="preserve">Radiometrically Corrected Measurements: Radiometric Terrain Correction Algorithm</w:t>
      </w:r>
    </w:p>
    <w:p>
      <w:pPr>
        <w:pStyle w:val="FirstParagraph"/>
      </w:pPr>
      <w:r>
        <w:t xml:space="preserve">Identifier:</w:t>
      </w:r>
      <w:r>
        <w:t xml:space="preserve"> </w:t>
      </w:r>
      <w:r>
        <w:rPr>
          <w:rStyle w:val="VerbatimChar"/>
        </w:rPr>
        <w:t xml:space="preserve">rcm.corrections-radiometric-terrain-correction</w:t>
      </w:r>
    </w:p>
    <w:bookmarkStart w:id="216" w:name="threshold-requirements-44"/>
    <w:p>
      <w:pPr>
        <w:pStyle w:val="berschrift5"/>
      </w:pPr>
      <w:r>
        <w:t xml:space="preserve">Threshold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096"/>
        </w:numPr>
      </w:pPr>
      <w:r>
        <w:t xml:space="preserve">a citable peer-reviewed algorithm</w:t>
      </w:r>
    </w:p>
    <w:p>
      <w:pPr>
        <w:pStyle w:val="Compact"/>
        <w:numPr>
          <w:ilvl w:val="0"/>
          <w:numId w:val="1096"/>
        </w:numPr>
      </w:pPr>
      <w:r>
        <w:t xml:space="preserve">technical documentation regarding the algorithm used to generate the backscatter estimates is expressed as URLs or DOIs</w:t>
      </w:r>
    </w:p>
    <w:p>
      <w:pPr>
        <w:pStyle w:val="Compact"/>
        <w:numPr>
          <w:ilvl w:val="0"/>
          <w:numId w:val="1096"/>
        </w:numPr>
      </w:pPr>
      <w:r>
        <w:t xml:space="preserve">the sources of auxiliary data used to make corrections</w:t>
      </w:r>
    </w:p>
    <w:p>
      <w:pPr>
        <w:pStyle w:val="FirstParagraph"/>
      </w:pPr>
      <w:r>
        <w:t xml:space="preserve">Notes:</w:t>
      </w:r>
    </w:p>
    <w:p>
      <w:pPr>
        <w:pStyle w:val="Compact"/>
        <w:numPr>
          <w:ilvl w:val="0"/>
          <w:numId w:val="1097"/>
        </w:numPr>
      </w:pPr>
      <w:r>
        <w:t xml:space="preserve">Examples of technical documentation include an Algorithm, Theoretical Basis Document, product user guide, etc.</w:t>
      </w:r>
    </w:p>
    <w:bookmarkEnd w:id="216"/>
    <w:bookmarkStart w:id="217" w:name="goal-requirements-44"/>
    <w:p>
      <w:pPr>
        <w:pStyle w:val="berschrift5"/>
      </w:pPr>
      <w:r>
        <w:t xml:space="preserve">Goal requirements:</w:t>
      </w:r>
    </w:p>
    <w:p>
      <w:pPr>
        <w:pStyle w:val="FirstParagraph"/>
      </w:pPr>
      <w:r>
        <w:rPr>
          <w:i/>
          <w:iCs/>
        </w:rPr>
        <w:t xml:space="preserve">None</w:t>
      </w:r>
    </w:p>
    <w:bookmarkEnd w:id="217"/>
    <w:bookmarkStart w:id="218" w:name="assessment-44"/>
    <w:p>
      <w:pPr>
        <w:pStyle w:val="berschrift5"/>
      </w:pPr>
      <w:r>
        <w:t xml:space="preserve">Assessment:</w:t>
      </w:r>
    </w:p>
    <w:p>
      <w:pPr>
        <w:pStyle w:val="Compact"/>
        <w:numPr>
          <w:ilvl w:val="0"/>
          <w:numId w:val="1098"/>
        </w:numPr>
      </w:pPr>
      <w:r>
        <w:t xml:space="preserve">Threshold Self-Assessment:</w:t>
      </w:r>
    </w:p>
    <w:p>
      <w:pPr>
        <w:pStyle w:val="Compact"/>
        <w:numPr>
          <w:ilvl w:val="0"/>
          <w:numId w:val="1098"/>
        </w:numPr>
      </w:pPr>
      <w:r>
        <w:t xml:space="preserve">Goal Self-Assessment:</w:t>
      </w:r>
    </w:p>
    <w:p>
      <w:pPr>
        <w:pStyle w:val="Compact"/>
        <w:numPr>
          <w:ilvl w:val="0"/>
          <w:numId w:val="1098"/>
        </w:numPr>
      </w:pPr>
      <w:r>
        <w:t xml:space="preserve">Self-Assessment Explanation/ Justification:</w:t>
      </w:r>
    </w:p>
    <w:p>
      <w:pPr>
        <w:pStyle w:val="Compact"/>
        <w:numPr>
          <w:ilvl w:val="0"/>
          <w:numId w:val="1098"/>
        </w:numPr>
      </w:pPr>
      <w:r>
        <w:t xml:space="preserve">Recommended Requirement Modification:</w:t>
      </w:r>
    </w:p>
    <w:p>
      <w:r>
        <w:pict>
          <v:rect style="width:0;height:1.5pt" o:hralign="center" o:hrstd="t" o:hr="t"/>
        </w:pict>
      </w:r>
    </w:p>
    <w:bookmarkEnd w:id="218"/>
    <w:bookmarkEnd w:id="219"/>
    <w:bookmarkStart w:id="223" w:name="sec:rcm.metadata-radiometric-accuracy"/>
    <w:p>
      <w:pPr>
        <w:pStyle w:val="berschrift4"/>
      </w:pPr>
      <w:r>
        <w:rPr>
          <w:rStyle w:val="VerbatimChar"/>
        </w:rPr>
        <w:t xml:space="preserve">5.6.</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20" w:name="threshold-requirements-45"/>
    <w:p>
      <w:pPr>
        <w:pStyle w:val="berschrift5"/>
      </w:pPr>
      <w:r>
        <w:t xml:space="preserve">Threshold requirements:</w:t>
      </w:r>
    </w:p>
    <w:p>
      <w:pPr>
        <w:pStyle w:val="FirstParagraph"/>
      </w:pPr>
      <w:r>
        <w:rPr>
          <w:i/>
          <w:iCs/>
        </w:rPr>
        <w:t xml:space="preserve">None</w:t>
      </w:r>
    </w:p>
    <w:bookmarkEnd w:id="220"/>
    <w:bookmarkStart w:id="221" w:name="goal-requirements-45"/>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21"/>
    <w:bookmarkStart w:id="222" w:name="assessment-45"/>
    <w:p>
      <w:pPr>
        <w:pStyle w:val="berschrift5"/>
      </w:pPr>
      <w:r>
        <w:t xml:space="preserve">Assessment:</w:t>
      </w:r>
    </w:p>
    <w:p>
      <w:pPr>
        <w:pStyle w:val="Compact"/>
        <w:numPr>
          <w:ilvl w:val="0"/>
          <w:numId w:val="1099"/>
        </w:numPr>
      </w:pPr>
      <w:r>
        <w:t xml:space="preserve">Threshold Self-Assessment:</w:t>
      </w:r>
    </w:p>
    <w:p>
      <w:pPr>
        <w:pStyle w:val="Compact"/>
        <w:numPr>
          <w:ilvl w:val="0"/>
          <w:numId w:val="1099"/>
        </w:numPr>
      </w:pPr>
      <w:r>
        <w:t xml:space="preserve">Goal Self-Assessment:</w:t>
      </w:r>
    </w:p>
    <w:p>
      <w:pPr>
        <w:pStyle w:val="Compact"/>
        <w:numPr>
          <w:ilvl w:val="0"/>
          <w:numId w:val="1099"/>
        </w:numPr>
      </w:pPr>
      <w:r>
        <w:t xml:space="preserve">Self-Assessment Explanation/ Justification:</w:t>
      </w:r>
    </w:p>
    <w:p>
      <w:pPr>
        <w:pStyle w:val="Compact"/>
        <w:numPr>
          <w:ilvl w:val="0"/>
          <w:numId w:val="1099"/>
        </w:numPr>
      </w:pPr>
      <w:r>
        <w:t xml:space="preserve">Recommended Requirement Modification:</w:t>
      </w:r>
    </w:p>
    <w:p>
      <w:r>
        <w:pict>
          <v:rect style="width:0;height:1.5pt" o:hralign="center" o:hrstd="t" o:hr="t"/>
        </w:pict>
      </w:r>
    </w:p>
    <w:bookmarkEnd w:id="222"/>
    <w:bookmarkEnd w:id="223"/>
    <w:bookmarkStart w:id="227" w:name="sec:rcm.measurements-flattened-phase"/>
    <w:p>
      <w:pPr>
        <w:pStyle w:val="berschrift4"/>
      </w:pPr>
      <w:r>
        <w:rPr>
          <w:rStyle w:val="VerbatimChar"/>
        </w:rPr>
        <w:t xml:space="preserve">5.7.</w:t>
      </w:r>
      <w:r>
        <w:t xml:space="preserve"> </w:t>
      </w:r>
      <w:r>
        <w:t xml:space="preserve">Radiometrically Corrected Measurements: Flattened Phase</w:t>
      </w:r>
    </w:p>
    <w:p>
      <w:pPr>
        <w:pStyle w:val="FirstParagraph"/>
      </w:pPr>
      <w:r>
        <w:t xml:space="preserve">Identifier:</w:t>
      </w:r>
      <w:r>
        <w:t xml:space="preserve"> </w:t>
      </w:r>
      <w:r>
        <w:rPr>
          <w:rStyle w:val="VerbatimChar"/>
        </w:rPr>
        <w:t xml:space="preserve">rcm.measurements-flattened-phase</w:t>
      </w:r>
    </w:p>
    <w:p>
      <w:pPr>
        <w:pStyle w:val="Textkrper"/>
      </w:pPr>
      <w:r>
        <w:rPr>
          <w:b/>
          <w:bCs/>
        </w:rPr>
        <w:t xml:space="preserve">Usage: Alternative to GSLC product for NRB and POL products</w:t>
      </w:r>
    </w:p>
    <w:bookmarkStart w:id="224" w:name="threshold-requirements-46"/>
    <w:p>
      <w:pPr>
        <w:pStyle w:val="berschrift5"/>
      </w:pPr>
      <w:r>
        <w:t xml:space="preserve">Threshold requirements:</w:t>
      </w:r>
    </w:p>
    <w:p>
      <w:pPr>
        <w:pStyle w:val="FirstParagraph"/>
      </w:pPr>
      <w:r>
        <w:rPr>
          <w:i/>
          <w:iCs/>
        </w:rPr>
        <w:t xml:space="preserve">None</w:t>
      </w:r>
    </w:p>
    <w:bookmarkEnd w:id="224"/>
    <w:bookmarkStart w:id="225" w:name="goal-requirements-46"/>
    <w:p>
      <w:pPr>
        <w:pStyle w:val="berschrift5"/>
      </w:pPr>
      <w:r>
        <w:t xml:space="preserve">Goal requirements:</w:t>
      </w:r>
    </w:p>
    <w:p>
      <w:pPr>
        <w:pStyle w:val="FirstParagraph"/>
      </w:pPr>
      <w:r>
        <w:t xml:space="preserve">The Flattened Phase is the interferometric phase for which the topographic phase contribution is removed.</w:t>
      </w:r>
      <w:r>
        <w:t xml:space="preserve"> </w:t>
      </w:r>
      <w:r>
        <w:t xml:space="preserve">It is derived from the range-Doppler SLC product using a DEM and the orbital state vectors with respect to a reference orbit (see Section </w:t>
      </w:r>
      <w:r>
        <w:t xml:space="preserve">“</w:t>
      </w:r>
      <w:hyperlink w:anchor="sec:annex-sar-topographic-phase-removal">
        <w:r>
          <w:rPr>
            <w:rStyle w:val="Hyperlink"/>
          </w:rPr>
          <w:t xml:space="preserve">Topographic phase removal</w:t>
        </w:r>
      </w:hyperlink>
      <w:r>
        <w:t xml:space="preserve">”</w:t>
      </w:r>
      <w:r>
        <w:t xml:space="preserve">).</w:t>
      </w:r>
      <w:r>
        <w:t xml:space="preserve"> </w:t>
      </w:r>
      <w:r>
        <w:t xml:space="preserve">The use of the Flattened Phase with the NRB or POL intensity (Section </w:t>
      </w:r>
      <w:r>
        <w:t xml:space="preserve">“</w:t>
      </w:r>
      <w:hyperlink w:anchor="sec:rcm">
        <w:r>
          <w:rPr>
            <w:rStyle w:val="Hyperlink"/>
          </w:rPr>
          <w:t xml:space="preserve">Radiometrically Corrected Measurements</w:t>
        </w:r>
      </w:hyperlink>
      <w:r>
        <w:t xml:space="preserve">”</w:t>
      </w:r>
      <w:r>
        <w:t xml:space="preserve">) provides the GSLC equivalent, as follows:</w:t>
      </w:r>
    </w:p>
    <w:p>
      <w:pPr>
        <w:pStyle w:val="Textkrper"/>
      </w:pPr>
      <m:oMathPara>
        <m:oMathParaPr>
          <m:jc m:val="center"/>
        </m:oMathParaPr>
        <m:oMath>
          <m:r>
            <m:rPr>
              <m:nor/>
              <m:sty m:val="p"/>
            </m:rPr>
            <m:t>GSLC</m:t>
          </m:r>
          <m:r>
            <m:rPr>
              <m:sty m:val="p"/>
            </m:rPr>
            <m:t>=</m:t>
          </m:r>
          <m:rad>
            <m:radPr>
              <m:degHide m:val="on"/>
            </m:radPr>
            <m:deg/>
            <m:e>
              <m:r>
                <m:t>N</m:t>
              </m:r>
              <m:r>
                <m:t>R</m:t>
              </m:r>
              <m:r>
                <m:t>B</m:t>
              </m:r>
            </m:e>
          </m:rad>
          <m:r>
            <m:rPr>
              <m:sty m:val="p"/>
            </m:rPr>
            <m:t>×</m:t>
          </m:r>
          <m:r>
            <m:rPr>
              <m:sty m:val="p"/>
            </m:rPr>
            <m:t>exp</m:t>
          </m:r>
          <m:d>
            <m:dPr>
              <m:begChr m:val="("/>
              <m:sepChr m:val=""/>
              <m:endChr m:val=")"/>
              <m:grow/>
            </m:dPr>
            <m:e>
              <m:r>
                <m:t>j</m:t>
              </m:r>
              <m:r>
                <m:rPr>
                  <m:sty m:val="p"/>
                </m:rPr>
                <m:t>⋅</m:t>
              </m:r>
              <m:r>
                <m:rPr>
                  <m:nor/>
                  <m:sty m:val="p"/>
                </m:rPr>
                <m:t>FlattenPhase</m:t>
              </m:r>
            </m:e>
          </m:d>
        </m:oMath>
      </m:oMathPara>
    </w:p>
    <w:p>
      <w:pPr>
        <w:pStyle w:val="FirstParagraph"/>
      </w:pPr>
      <w:r>
        <w:t xml:space="preserve">File format specifications/contents provided in metadata:</w:t>
      </w:r>
    </w:p>
    <w:p>
      <w:pPr>
        <w:pStyle w:val="Compact"/>
        <w:numPr>
          <w:ilvl w:val="0"/>
          <w:numId w:val="1100"/>
        </w:numPr>
      </w:pPr>
      <w:r>
        <w:t xml:space="preserve">Measurement Type (Flattened Phase)</w:t>
      </w:r>
    </w:p>
    <w:p>
      <w:pPr>
        <w:pStyle w:val="Compact"/>
        <w:numPr>
          <w:ilvl w:val="0"/>
          <w:numId w:val="1100"/>
        </w:numPr>
      </w:pPr>
      <w:r>
        <w:t xml:space="preserve">Reference Polarization (HH/HV/VV/VH)</w:t>
      </w:r>
    </w:p>
    <w:p>
      <w:pPr>
        <w:pStyle w:val="Compact"/>
        <w:numPr>
          <w:ilvl w:val="0"/>
          <w:numId w:val="1100"/>
        </w:numPr>
      </w:pPr>
      <w:r>
        <w:t xml:space="preserve">Data Format (GeoTIFF, HDF5, NetCDF, …)</w:t>
      </w:r>
    </w:p>
    <w:p>
      <w:pPr>
        <w:pStyle w:val="Compact"/>
        <w:numPr>
          <w:ilvl w:val="0"/>
          <w:numId w:val="1100"/>
        </w:numPr>
      </w:pPr>
      <w:r>
        <w:t xml:space="preserve">Data Type (Int, Float, …)</w:t>
      </w:r>
    </w:p>
    <w:p>
      <w:pPr>
        <w:pStyle w:val="Compact"/>
        <w:numPr>
          <w:ilvl w:val="0"/>
          <w:numId w:val="1100"/>
        </w:numPr>
      </w:pPr>
      <w:r>
        <w:t xml:space="preserve">Bits per Sample</w:t>
      </w:r>
    </w:p>
    <w:p>
      <w:pPr>
        <w:pStyle w:val="Compact"/>
        <w:numPr>
          <w:ilvl w:val="0"/>
          <w:numId w:val="1100"/>
        </w:numPr>
      </w:pPr>
      <w:r>
        <w:t xml:space="preserve">Byte Order</w:t>
      </w:r>
    </w:p>
    <w:p>
      <w:pPr>
        <w:pStyle w:val="FirstParagraph"/>
      </w:pPr>
      <w:r>
        <w:t xml:space="preserve">In case of polarimetric data, indicate the reference polarization.</w:t>
      </w:r>
    </w:p>
    <w:bookmarkEnd w:id="225"/>
    <w:bookmarkStart w:id="226" w:name="assessment-46"/>
    <w:p>
      <w:pPr>
        <w:pStyle w:val="berschrift5"/>
      </w:pPr>
      <w:r>
        <w:t xml:space="preserve">Assessment:</w:t>
      </w:r>
    </w:p>
    <w:p>
      <w:pPr>
        <w:pStyle w:val="Compact"/>
        <w:numPr>
          <w:ilvl w:val="0"/>
          <w:numId w:val="1101"/>
        </w:numPr>
      </w:pPr>
      <w:r>
        <w:t xml:space="preserve">Threshold Self-Assessment:</w:t>
      </w:r>
    </w:p>
    <w:p>
      <w:pPr>
        <w:pStyle w:val="Compact"/>
        <w:numPr>
          <w:ilvl w:val="0"/>
          <w:numId w:val="1101"/>
        </w:numPr>
      </w:pPr>
      <w:r>
        <w:t xml:space="preserve">Goal Self-Assessment:</w:t>
      </w:r>
    </w:p>
    <w:p>
      <w:pPr>
        <w:pStyle w:val="Compact"/>
        <w:numPr>
          <w:ilvl w:val="0"/>
          <w:numId w:val="1101"/>
        </w:numPr>
      </w:pPr>
      <w:r>
        <w:t xml:space="preserve">Self-Assessment Explanation/ Justification:</w:t>
      </w:r>
    </w:p>
    <w:p>
      <w:pPr>
        <w:pStyle w:val="Compact"/>
        <w:numPr>
          <w:ilvl w:val="0"/>
          <w:numId w:val="1101"/>
        </w:numPr>
      </w:pPr>
      <w:r>
        <w:t xml:space="preserve">Recommended Requirement Modification:</w:t>
      </w:r>
    </w:p>
    <w:bookmarkEnd w:id="226"/>
    <w:bookmarkEnd w:id="227"/>
    <w:bookmarkEnd w:id="228"/>
    <w:bookmarkStart w:id="249"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32"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29" w:name="threshold-requirements-47"/>
    <w:p>
      <w:pPr>
        <w:pStyle w:val="berschrift5"/>
      </w:pPr>
      <w:r>
        <w:t xml:space="preserve">Threshold requirements:</w:t>
      </w:r>
    </w:p>
    <w:p>
      <w:pPr>
        <w:pStyle w:val="FirstParagraph"/>
      </w:pPr>
      <w:r>
        <w:rPr>
          <w:i/>
          <w:iCs/>
        </w:rPr>
        <w:t xml:space="preserve">None</w:t>
      </w:r>
    </w:p>
    <w:bookmarkEnd w:id="229"/>
    <w:bookmarkStart w:id="230" w:name="goal-requirements-47"/>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2"/>
        </w:numPr>
      </w:pPr>
      <w:r>
        <w:t xml:space="preserve">Examples of technical documentation can include e.g., an Algorithm Theoretical Basis Document (ATBD) or a product user guide.</w:t>
      </w:r>
    </w:p>
    <w:bookmarkEnd w:id="230"/>
    <w:bookmarkStart w:id="231" w:name="assessment-47"/>
    <w:p>
      <w:pPr>
        <w:pStyle w:val="berschrift5"/>
      </w:pPr>
      <w:r>
        <w:t xml:space="preserve">Assessment:</w:t>
      </w:r>
    </w:p>
    <w:p>
      <w:pPr>
        <w:pStyle w:val="Compact"/>
        <w:numPr>
          <w:ilvl w:val="0"/>
          <w:numId w:val="1103"/>
        </w:numPr>
      </w:pPr>
      <w:r>
        <w:t xml:space="preserve">Threshold Self-Assessment:</w:t>
      </w:r>
    </w:p>
    <w:p>
      <w:pPr>
        <w:pStyle w:val="Compact"/>
        <w:numPr>
          <w:ilvl w:val="0"/>
          <w:numId w:val="1103"/>
        </w:numPr>
      </w:pPr>
      <w:r>
        <w:t xml:space="preserve">Goal Self-Assessment:</w:t>
      </w:r>
    </w:p>
    <w:p>
      <w:pPr>
        <w:pStyle w:val="Compact"/>
        <w:numPr>
          <w:ilvl w:val="0"/>
          <w:numId w:val="1103"/>
        </w:numPr>
      </w:pPr>
      <w:r>
        <w:t xml:space="preserve">Self-Assessment Explanation/ Justification:</w:t>
      </w:r>
    </w:p>
    <w:p>
      <w:pPr>
        <w:pStyle w:val="Compact"/>
        <w:numPr>
          <w:ilvl w:val="0"/>
          <w:numId w:val="1103"/>
        </w:numPr>
      </w:pPr>
      <w:r>
        <w:t xml:space="preserve">Recommended Requirement Modification:</w:t>
      </w:r>
    </w:p>
    <w:p>
      <w:r>
        <w:pict>
          <v:rect style="width:0;height:1.5pt" o:hralign="center" o:hrstd="t" o:hr="t"/>
        </w:pict>
      </w:r>
    </w:p>
    <w:bookmarkEnd w:id="231"/>
    <w:bookmarkEnd w:id="232"/>
    <w:bookmarkStart w:id="236"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33" w:name="threshold-requirements-48"/>
    <w:p>
      <w:pPr>
        <w:pStyle w:val="berschrift5"/>
      </w:pPr>
      <w:r>
        <w:t xml:space="preserve">Threshold requirements:</w:t>
      </w:r>
    </w:p>
    <w:p>
      <w:pPr>
        <w:pStyle w:val="Compact"/>
        <w:numPr>
          <w:ilvl w:val="0"/>
          <w:numId w:val="1104"/>
        </w:numPr>
      </w:pPr>
      <w:r>
        <w:t xml:space="preserve">During ortho-rectification, the data provider shall use the same DEM that was used for the radiometric terrain flattening to ensure consistency of the data stack.</w:t>
      </w:r>
    </w:p>
    <w:p>
      <w:pPr>
        <w:pStyle w:val="Compact"/>
        <w:numPr>
          <w:ilvl w:val="0"/>
          <w:numId w:val="1104"/>
        </w:numPr>
      </w:pPr>
      <w:r>
        <w:t xml:space="preserve">Provide reference to Digital Elevation Model used for geometric terrain correction.</w:t>
      </w:r>
    </w:p>
    <w:p>
      <w:pPr>
        <w:pStyle w:val="Compact"/>
        <w:numPr>
          <w:ilvl w:val="0"/>
          <w:numId w:val="1104"/>
        </w:numPr>
      </w:pPr>
      <w:r>
        <w:t xml:space="preserve">Provide reference to Earth Gravitational Model (EGM) used for geometric correction.</w:t>
      </w:r>
    </w:p>
    <w:bookmarkEnd w:id="233"/>
    <w:bookmarkStart w:id="234" w:name="goal-requirements-48"/>
    <w:p>
      <w:pPr>
        <w:pStyle w:val="berschrift5"/>
      </w:pPr>
      <w:r>
        <w:t xml:space="preserve">Goal requirements:</w:t>
      </w:r>
    </w:p>
    <w:p>
      <w:pPr>
        <w:pStyle w:val="Compact"/>
        <w:numPr>
          <w:ilvl w:val="0"/>
          <w:numId w:val="1105"/>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05"/>
        </w:numPr>
      </w:pPr>
      <w:r>
        <w:t xml:space="preserve">Resampling method used for preparation of the DEM.</w:t>
      </w:r>
    </w:p>
    <w:p>
      <w:pPr>
        <w:pStyle w:val="Compact"/>
        <w:numPr>
          <w:ilvl w:val="0"/>
          <w:numId w:val="1105"/>
        </w:numPr>
      </w:pPr>
      <w:r>
        <w:t xml:space="preserve">Method used for resampling the EGM.</w:t>
      </w:r>
    </w:p>
    <w:bookmarkEnd w:id="234"/>
    <w:bookmarkStart w:id="235" w:name="assessment-48"/>
    <w:p>
      <w:pPr>
        <w:pStyle w:val="berschrift5"/>
      </w:pPr>
      <w:r>
        <w:t xml:space="preserve">Assessment:</w:t>
      </w:r>
    </w:p>
    <w:p>
      <w:pPr>
        <w:pStyle w:val="Compact"/>
        <w:numPr>
          <w:ilvl w:val="0"/>
          <w:numId w:val="1106"/>
        </w:numPr>
      </w:pPr>
      <w:r>
        <w:t xml:space="preserve">Threshold Self-Assessment:</w:t>
      </w:r>
    </w:p>
    <w:p>
      <w:pPr>
        <w:pStyle w:val="Compact"/>
        <w:numPr>
          <w:ilvl w:val="0"/>
          <w:numId w:val="1106"/>
        </w:numPr>
      </w:pPr>
      <w:r>
        <w:t xml:space="preserve">Goal Self-Assessment:</w:t>
      </w:r>
    </w:p>
    <w:p>
      <w:pPr>
        <w:pStyle w:val="Compact"/>
        <w:numPr>
          <w:ilvl w:val="0"/>
          <w:numId w:val="1106"/>
        </w:numPr>
      </w:pPr>
      <w:r>
        <w:t xml:space="preserve">Self-Assessment Explanation/ Justification:</w:t>
      </w:r>
    </w:p>
    <w:p>
      <w:pPr>
        <w:pStyle w:val="Compact"/>
        <w:numPr>
          <w:ilvl w:val="0"/>
          <w:numId w:val="1106"/>
        </w:numPr>
      </w:pPr>
      <w:r>
        <w:t xml:space="preserve">Recommended Requirement Modification:</w:t>
      </w:r>
    </w:p>
    <w:p>
      <w:r>
        <w:pict>
          <v:rect style="width:0;height:1.5pt" o:hralign="center" o:hrstd="t" o:hr="t"/>
        </w:pict>
      </w:r>
    </w:p>
    <w:bookmarkEnd w:id="235"/>
    <w:bookmarkEnd w:id="236"/>
    <w:bookmarkStart w:id="240"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37" w:name="threshold-requirements-49"/>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07"/>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07"/>
        </w:numPr>
      </w:pPr>
      <w:r>
        <w:t xml:space="preserve">The ALE is not typically assessed for every processed image, but through an ALE assessment by the data processing team characterizing all or (usually a subset) of the generated products.</w:t>
      </w:r>
    </w:p>
    <w:bookmarkEnd w:id="237"/>
    <w:bookmarkStart w:id="238" w:name="goal-requirements-49"/>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38"/>
    <w:bookmarkStart w:id="239" w:name="assessment-49"/>
    <w:p>
      <w:pPr>
        <w:pStyle w:val="berschrift5"/>
      </w:pPr>
      <w:r>
        <w:t xml:space="preserve">Assessment:</w:t>
      </w:r>
    </w:p>
    <w:p>
      <w:pPr>
        <w:pStyle w:val="Compact"/>
        <w:numPr>
          <w:ilvl w:val="0"/>
          <w:numId w:val="1108"/>
        </w:numPr>
      </w:pPr>
      <w:r>
        <w:t xml:space="preserve">Threshold Self-Assessment:</w:t>
      </w:r>
    </w:p>
    <w:p>
      <w:pPr>
        <w:pStyle w:val="Compact"/>
        <w:numPr>
          <w:ilvl w:val="0"/>
          <w:numId w:val="1108"/>
        </w:numPr>
      </w:pPr>
      <w:r>
        <w:t xml:space="preserve">Goal Self-Assessment:</w:t>
      </w:r>
    </w:p>
    <w:p>
      <w:pPr>
        <w:pStyle w:val="Compact"/>
        <w:numPr>
          <w:ilvl w:val="0"/>
          <w:numId w:val="1108"/>
        </w:numPr>
      </w:pPr>
      <w:r>
        <w:t xml:space="preserve">Self-Assessment Explanation/ Justification:</w:t>
      </w:r>
    </w:p>
    <w:p>
      <w:pPr>
        <w:pStyle w:val="Compact"/>
        <w:numPr>
          <w:ilvl w:val="0"/>
          <w:numId w:val="1108"/>
        </w:numPr>
      </w:pPr>
      <w:r>
        <w:t xml:space="preserve">Recommended Requirement Modification:</w:t>
      </w:r>
    </w:p>
    <w:p>
      <w:r>
        <w:pict>
          <v:rect style="width:0;height:1.5pt" o:hralign="center" o:hrstd="t" o:hr="t"/>
        </w:pict>
      </w:r>
    </w:p>
    <w:bookmarkEnd w:id="239"/>
    <w:bookmarkEnd w:id="240"/>
    <w:bookmarkStart w:id="244"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41" w:name="threshold-requirements-50"/>
    <w:p>
      <w:pPr>
        <w:pStyle w:val="berschrift5"/>
      </w:pPr>
      <w:r>
        <w:t xml:space="preserve">Threshold requirements:</w:t>
      </w:r>
    </w:p>
    <w:p>
      <w:pPr>
        <w:pStyle w:val="FirstParagraph"/>
      </w:pPr>
      <w:r>
        <w:rPr>
          <w:i/>
          <w:iCs/>
        </w:rPr>
        <w:t xml:space="preserve">None</w:t>
      </w:r>
    </w:p>
    <w:bookmarkEnd w:id="241"/>
    <w:bookmarkStart w:id="242" w:name="goal-requirements-50"/>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42"/>
    <w:bookmarkStart w:id="243" w:name="assessment-50"/>
    <w:p>
      <w:pPr>
        <w:pStyle w:val="berschrift5"/>
      </w:pPr>
      <w:r>
        <w:t xml:space="preserve">Assessment:</w:t>
      </w:r>
    </w:p>
    <w:p>
      <w:pPr>
        <w:pStyle w:val="Compact"/>
        <w:numPr>
          <w:ilvl w:val="0"/>
          <w:numId w:val="1109"/>
        </w:numPr>
      </w:pPr>
      <w:r>
        <w:t xml:space="preserve">Threshold Self-Assessment:</w:t>
      </w:r>
    </w:p>
    <w:p>
      <w:pPr>
        <w:pStyle w:val="Compact"/>
        <w:numPr>
          <w:ilvl w:val="0"/>
          <w:numId w:val="1109"/>
        </w:numPr>
      </w:pPr>
      <w:r>
        <w:t xml:space="preserve">Goal Self-Assessment:</w:t>
      </w:r>
    </w:p>
    <w:p>
      <w:pPr>
        <w:pStyle w:val="Compact"/>
        <w:numPr>
          <w:ilvl w:val="0"/>
          <w:numId w:val="1109"/>
        </w:numPr>
      </w:pPr>
      <w:r>
        <w:t xml:space="preserve">Self-Assessment Explanation/ Justification:</w:t>
      </w:r>
    </w:p>
    <w:p>
      <w:pPr>
        <w:pStyle w:val="Compact"/>
        <w:numPr>
          <w:ilvl w:val="0"/>
          <w:numId w:val="1109"/>
        </w:numPr>
      </w:pPr>
      <w:r>
        <w:t xml:space="preserve">Recommended Requirement Modification:</w:t>
      </w:r>
    </w:p>
    <w:p>
      <w:r>
        <w:pict>
          <v:rect style="width:0;height:1.5pt" o:hralign="center" o:hrstd="t" o:hr="t"/>
        </w:pict>
      </w:r>
    </w:p>
    <w:bookmarkEnd w:id="243"/>
    <w:bookmarkEnd w:id="244"/>
    <w:bookmarkStart w:id="248"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45" w:name="threshold-requirements-51"/>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10"/>
        </w:numPr>
      </w:pPr>
      <w:r>
        <w:t xml:space="preserve">If a product hierarchy of resolutions exists (or is planned), the multiple resolutions should nest within each other (e.g., 12.5m, 25m, 50m, 100m, etc.), and not be disjoint.</w:t>
      </w:r>
    </w:p>
    <w:bookmarkEnd w:id="245"/>
    <w:bookmarkStart w:id="246" w:name="goal-requirements-51"/>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46"/>
    <w:bookmarkStart w:id="247" w:name="assessment-51"/>
    <w:p>
      <w:pPr>
        <w:pStyle w:val="berschrift5"/>
      </w:pPr>
      <w:r>
        <w:t xml:space="preserve">Assessment:</w:t>
      </w:r>
    </w:p>
    <w:p>
      <w:pPr>
        <w:pStyle w:val="Compact"/>
        <w:numPr>
          <w:ilvl w:val="0"/>
          <w:numId w:val="1111"/>
        </w:numPr>
      </w:pPr>
      <w:r>
        <w:t xml:space="preserve">Threshold Self-Assessment:</w:t>
      </w:r>
    </w:p>
    <w:p>
      <w:pPr>
        <w:pStyle w:val="Compact"/>
        <w:numPr>
          <w:ilvl w:val="0"/>
          <w:numId w:val="1111"/>
        </w:numPr>
      </w:pPr>
      <w:r>
        <w:t xml:space="preserve">Goal Self-Assessment:</w:t>
      </w:r>
    </w:p>
    <w:p>
      <w:pPr>
        <w:pStyle w:val="Compact"/>
        <w:numPr>
          <w:ilvl w:val="0"/>
          <w:numId w:val="1111"/>
        </w:numPr>
      </w:pPr>
      <w:r>
        <w:t xml:space="preserve">Self-Assessment Explanation/ Justification:</w:t>
      </w:r>
    </w:p>
    <w:p>
      <w:pPr>
        <w:pStyle w:val="Compact"/>
        <w:numPr>
          <w:ilvl w:val="0"/>
          <w:numId w:val="1111"/>
        </w:numPr>
      </w:pPr>
      <w:r>
        <w:t xml:space="preserve">Recommended Requirement Modification:</w:t>
      </w:r>
    </w:p>
    <w:p>
      <w:r>
        <w:br w:type="page"/>
      </w:r>
    </w:p>
    <w:bookmarkEnd w:id="247"/>
    <w:bookmarkEnd w:id="248"/>
    <w:bookmarkEnd w:id="249"/>
    <w:bookmarkEnd w:id="250"/>
    <w:bookmarkStart w:id="257" w:name="summary-self-assessment-table"/>
    <w:p>
      <w:pPr>
        <w:pStyle w:val="berschrift2"/>
      </w:pPr>
      <w:r>
        <w:t xml:space="preserve">Summary Self-Assessment Table</w:t>
      </w:r>
    </w:p>
    <w:bookmarkStart w:id="251"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51"/>
    <w:bookmarkStart w:id="252"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src.metadata-sequential-id</w:t>
            </w:r>
          </w:p>
        </w:tc>
        <w:tc>
          <w:tcPr/>
          <w:p>
            <w:pPr>
              <w:pStyle w:val="Compact"/>
            </w:pPr>
            <w:r>
              <w:t xml:space="preserve">Sequential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52"/>
    <w:bookmarkStart w:id="253"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Speckle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prd.metadata-pol-filtering</w:t>
            </w:r>
          </w:p>
        </w:tc>
        <w:tc>
          <w:tcPr/>
          <w:p>
            <w:pPr>
              <w:pStyle w:val="Compact"/>
            </w:pPr>
            <w:r>
              <w:t xml:space="preserve">Polarimetric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bl>
    <w:bookmarkEnd w:id="253"/>
    <w:bookmarkStart w:id="254"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DEM</w:t>
            </w:r>
          </w:p>
        </w:tc>
        <w:tc>
          <w:tcPr/>
          <w:p>
            <w:pPr>
              <w:pStyle w:val="Compact"/>
              <w:jc w:val="center"/>
            </w:pPr>
            <w:r>
              <w:rPr>
                <w:i/>
                <w:iCs/>
              </w:rPr>
              <w:t xml:space="preserve">not required</w:t>
            </w:r>
          </w:p>
        </w:tc>
        <w:tc>
          <w:tcPr/>
          <w:p>
            <w:pPr>
              <w:pStyle w:val="Compact"/>
            </w:pPr>
          </w:p>
        </w:tc>
      </w:tr>
    </w:tbl>
    <w:bookmarkEnd w:id="254"/>
    <w:bookmarkStart w:id="255"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rcm.measurements-backscatter-pol</w:t>
            </w:r>
          </w:p>
        </w:tc>
        <w:tc>
          <w:tcPr/>
          <w:p>
            <w:pPr>
              <w:pStyle w:val="Compact"/>
            </w:pPr>
            <w:r>
              <w:t xml:space="preserve">Backscatter Measurements [POL]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w:t>
            </w:r>
          </w:p>
        </w:tc>
        <w:tc>
          <w:tcPr/>
          <w:p>
            <w:pPr>
              <w:pStyle w:val="Compact"/>
            </w:pPr>
            <w:r>
              <w:t xml:space="preserve">Radiometric Terrain Correction Algorithm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rcm.measurements-flattened-phase</w:t>
            </w:r>
          </w:p>
        </w:tc>
        <w:tc>
          <w:tcPr/>
          <w:p>
            <w:pPr>
              <w:pStyle w:val="Compact"/>
            </w:pPr>
            <w:r>
              <w:t xml:space="preserve">Flattened Phase</w:t>
            </w:r>
          </w:p>
        </w:tc>
        <w:tc>
          <w:tcPr/>
          <w:p>
            <w:pPr>
              <w:pStyle w:val="Compact"/>
              <w:jc w:val="center"/>
            </w:pPr>
            <w:r>
              <w:rPr>
                <w:i/>
                <w:iCs/>
              </w:rPr>
              <w:t xml:space="preserve">not required</w:t>
            </w:r>
          </w:p>
        </w:tc>
        <w:tc>
          <w:tcPr/>
          <w:p>
            <w:pPr>
              <w:pStyle w:val="Compact"/>
            </w:pPr>
          </w:p>
        </w:tc>
      </w:tr>
    </w:tbl>
    <w:bookmarkEnd w:id="255"/>
    <w:bookmarkStart w:id="256"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56"/>
    <w:bookmarkEnd w:id="257"/>
    <w:bookmarkStart w:id="285" w:name="references"/>
    <w:p>
      <w:pPr>
        <w:pStyle w:val="berschrift2"/>
      </w:pPr>
      <w:r>
        <w:t xml:space="preserve">References</w:t>
      </w:r>
    </w:p>
    <w:bookmarkStart w:id="284" w:name="refs"/>
    <w:bookmarkStart w:id="259" w:name="ref-cameron1996"/>
    <w:p>
      <w:pPr>
        <w:pStyle w:val="Literaturverzeichnis"/>
      </w:pPr>
      <w:r>
        <w:t xml:space="preserve">Cameron, W. L., N. N. Youssef, and L. K. Leung. 1996.</w:t>
      </w:r>
      <w:r>
        <w:t xml:space="preserve"> </w:t>
      </w:r>
      <w:r>
        <w:t xml:space="preserve">“Simulated Polarimetric Signatures of Primitive Geometrical Shapes.”</w:t>
      </w:r>
      <w:r>
        <w:t xml:space="preserve"> </w:t>
      </w:r>
      <w:r>
        <w:rPr>
          <w:i/>
          <w:iCs/>
        </w:rPr>
        <w:t xml:space="preserve">IEEE Transactions on Geoscience and Remote Sensing</w:t>
      </w:r>
      <w:r>
        <w:t xml:space="preserve"> </w:t>
      </w:r>
      <w:r>
        <w:t xml:space="preserve">34 (3): 793–803.</w:t>
      </w:r>
      <w:r>
        <w:t xml:space="preserve"> </w:t>
      </w:r>
      <w:hyperlink r:id="rId258">
        <w:r>
          <w:rPr>
            <w:rStyle w:val="Hyperlink"/>
          </w:rPr>
          <w:t xml:space="preserve">https://doi.org/10.1109/36.499784</w:t>
        </w:r>
      </w:hyperlink>
      <w:r>
        <w:t xml:space="preserve">.</w:t>
      </w:r>
    </w:p>
    <w:bookmarkEnd w:id="259"/>
    <w:bookmarkStart w:id="261" w:name="ref-cloude1996"/>
    <w:p>
      <w:pPr>
        <w:pStyle w:val="Literaturverzeichnis"/>
      </w:pPr>
      <w:r>
        <w:t xml:space="preserve">Cloude, S. R., and E. Pottier. 1996.</w:t>
      </w:r>
      <w:r>
        <w:t xml:space="preserve"> </w:t>
      </w:r>
      <w:r>
        <w:t xml:space="preserve">“A Review of Target Decomposition Theorems in Radar Polarimetry.”</w:t>
      </w:r>
      <w:r>
        <w:t xml:space="preserve"> </w:t>
      </w:r>
      <w:r>
        <w:rPr>
          <w:i/>
          <w:iCs/>
        </w:rPr>
        <w:t xml:space="preserve">IEEE Transactions on Geoscience and Remote Sensing</w:t>
      </w:r>
      <w:r>
        <w:t xml:space="preserve"> </w:t>
      </w:r>
      <w:r>
        <w:t xml:space="preserve">34 (2): 498–518.</w:t>
      </w:r>
      <w:r>
        <w:t xml:space="preserve"> </w:t>
      </w:r>
      <w:hyperlink r:id="rId260">
        <w:r>
          <w:rPr>
            <w:rStyle w:val="Hyperlink"/>
          </w:rPr>
          <w:t xml:space="preserve">https://doi.org/10.1109/36.485127</w:t>
        </w:r>
      </w:hyperlink>
      <w:r>
        <w:t xml:space="preserve">.</w:t>
      </w:r>
    </w:p>
    <w:bookmarkEnd w:id="261"/>
    <w:bookmarkStart w:id="263" w:name="ref-freeman1998"/>
    <w:p>
      <w:pPr>
        <w:pStyle w:val="Literaturverzeichnis"/>
      </w:pPr>
      <w:r>
        <w:t xml:space="preserve">Freeman, Anthony, and S. L. Durden. 1998.</w:t>
      </w:r>
      <w:r>
        <w:t xml:space="preserve"> </w:t>
      </w:r>
      <w:r>
        <w:t xml:space="preserve">“A Three-Component Scattering Model for Polarimetric SAR Data.”</w:t>
      </w:r>
      <w:r>
        <w:t xml:space="preserve"> </w:t>
      </w:r>
      <w:r>
        <w:rPr>
          <w:i/>
          <w:iCs/>
        </w:rPr>
        <w:t xml:space="preserve">Geoscience and Remote Sensing, IEEE Transactions on</w:t>
      </w:r>
      <w:r>
        <w:t xml:space="preserve"> </w:t>
      </w:r>
      <w:r>
        <w:t xml:space="preserve">36 (June): 963–73.</w:t>
      </w:r>
      <w:r>
        <w:t xml:space="preserve"> </w:t>
      </w:r>
      <w:hyperlink r:id="rId262">
        <w:r>
          <w:rPr>
            <w:rStyle w:val="Hyperlink"/>
          </w:rPr>
          <w:t xml:space="preserve">https://doi.org/10.1109/36.673687</w:t>
        </w:r>
      </w:hyperlink>
      <w:r>
        <w:t xml:space="preserve">.</w:t>
      </w:r>
    </w:p>
    <w:bookmarkEnd w:id="263"/>
    <w:bookmarkStart w:id="265" w:name="ref-gens2013"/>
    <w:p>
      <w:pPr>
        <w:pStyle w:val="Literaturverzeichnis"/>
      </w:pPr>
      <w:r>
        <w:t xml:space="preserve">Gens, R., Donald Atwood, and Eric Pottier. 2013.</w:t>
      </w:r>
      <w:r>
        <w:t xml:space="preserve"> </w:t>
      </w:r>
      <w:r>
        <w:t xml:space="preserve">“Geocoding of Polarimetric Processing Results: Alternative Processing Strategies.”</w:t>
      </w:r>
      <w:r>
        <w:t xml:space="preserve"> </w:t>
      </w:r>
      <w:r>
        <w:rPr>
          <w:i/>
          <w:iCs/>
        </w:rPr>
        <w:t xml:space="preserve">Remote Sensing Letters</w:t>
      </w:r>
      <w:r>
        <w:t xml:space="preserve"> </w:t>
      </w:r>
      <w:r>
        <w:t xml:space="preserve">4 (January): 38–44.</w:t>
      </w:r>
      <w:r>
        <w:t xml:space="preserve"> </w:t>
      </w:r>
      <w:hyperlink r:id="rId264">
        <w:r>
          <w:rPr>
            <w:rStyle w:val="Hyperlink"/>
          </w:rPr>
          <w:t xml:space="preserve">https://doi.org/10.1080/2150704X.2012.687470</w:t>
        </w:r>
      </w:hyperlink>
      <w:r>
        <w:t xml:space="preserve">.</w:t>
      </w:r>
    </w:p>
    <w:bookmarkEnd w:id="265"/>
    <w:bookmarkStart w:id="266"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66"/>
    <w:bookmarkStart w:id="267" w:name="ref-krogager1993"/>
    <w:p>
      <w:pPr>
        <w:pStyle w:val="Literaturverzeichnis"/>
      </w:pPr>
      <w:r>
        <w:t xml:space="preserve">Krogager, E., Dinamarca) Danmarks Tekniske Hojskole (Lingby, and Danish Defence Research Establishment. 1993.</w:t>
      </w:r>
      <w:r>
        <w:t xml:space="preserve"> </w:t>
      </w:r>
      <w:r>
        <w:rPr>
          <w:i/>
          <w:iCs/>
        </w:rPr>
        <w:t xml:space="preserve">Aspects of Polarimetric Radar Imaging</w:t>
      </w:r>
      <w:r>
        <w:t xml:space="preserve">. Danish Defence Research Establishment.</w:t>
      </w:r>
    </w:p>
    <w:bookmarkEnd w:id="267"/>
    <w:bookmarkStart w:id="269"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68">
        <w:r>
          <w:rPr>
            <w:rStyle w:val="Hyperlink"/>
          </w:rPr>
          <w:t xml:space="preserve">https://doi.org/10.1109/TGRS.2008.2002881</w:t>
        </w:r>
      </w:hyperlink>
      <w:r>
        <w:t xml:space="preserve">.</w:t>
      </w:r>
    </w:p>
    <w:bookmarkEnd w:id="269"/>
    <w:bookmarkStart w:id="271" w:name="ref-raney2012"/>
    <w:p>
      <w:pPr>
        <w:pStyle w:val="Literaturverzeichnis"/>
      </w:pPr>
      <w:r>
        <w:t xml:space="preserve">Raney, Russell, Joshua Cahill, G. Patterson, and D. Bussey. 2012.</w:t>
      </w:r>
      <w:r>
        <w:t xml:space="preserve"> </w:t>
      </w:r>
      <w:r>
        <w:t xml:space="preserve">“The m-Chi Decomposition of Hybrid Dual-Polarimetric Radar Data with Application to Lunar Craters.”</w:t>
      </w:r>
      <w:r>
        <w:t xml:space="preserve"> </w:t>
      </w:r>
      <w:r>
        <w:rPr>
          <w:i/>
          <w:iCs/>
        </w:rPr>
        <w:t xml:space="preserve">Journal of Geophysical Research (Planets)</w:t>
      </w:r>
      <w:r>
        <w:t xml:space="preserve"> </w:t>
      </w:r>
      <w:r>
        <w:t xml:space="preserve">117 (May).</w:t>
      </w:r>
      <w:r>
        <w:t xml:space="preserve"> </w:t>
      </w:r>
      <w:hyperlink r:id="rId270">
        <w:r>
          <w:rPr>
            <w:rStyle w:val="Hyperlink"/>
          </w:rPr>
          <w:t xml:space="preserve">https://doi.org/10.1029/2011JE003986</w:t>
        </w:r>
      </w:hyperlink>
      <w:r>
        <w:t xml:space="preserve">.</w:t>
      </w:r>
    </w:p>
    <w:bookmarkEnd w:id="271"/>
    <w:bookmarkStart w:id="273"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72">
        <w:r>
          <w:rPr>
            <w:rStyle w:val="Hyperlink"/>
          </w:rPr>
          <w:t xml:space="preserve">https://doi.org/10.1109/TGRS.2022.3147472</w:t>
        </w:r>
      </w:hyperlink>
      <w:r>
        <w:t xml:space="preserve">.</w:t>
      </w:r>
    </w:p>
    <w:bookmarkEnd w:id="273"/>
    <w:bookmarkStart w:id="275"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74">
        <w:r>
          <w:rPr>
            <w:rStyle w:val="Hyperlink"/>
          </w:rPr>
          <w:t xml:space="preserve">https://doi.org/10.1109/TGRS.2011.2120616</w:t>
        </w:r>
      </w:hyperlink>
      <w:r>
        <w:t xml:space="preserve">.</w:t>
      </w:r>
    </w:p>
    <w:bookmarkEnd w:id="275"/>
    <w:bookmarkStart w:id="277" w:name="ref-toutin2013"/>
    <w:p>
      <w:pPr>
        <w:pStyle w:val="Literaturverzeichnis"/>
      </w:pPr>
      <w:r>
        <w:t xml:space="preserve">Toutin, Thierry, Huili Wang, Pierre Chomaz, and Eric Pottier. 2013.</w:t>
      </w:r>
      <w:r>
        <w:t xml:space="preserve"> </w:t>
      </w:r>
      <w:r>
        <w:t xml:space="preserve">“Orthorectification of Full-Polarimetric Radarsat-2 Data Using Accurate LIDAR DSM.”</w:t>
      </w:r>
      <w:r>
        <w:t xml:space="preserve"> </w:t>
      </w:r>
      <w:r>
        <w:rPr>
          <w:i/>
          <w:iCs/>
        </w:rPr>
        <w:t xml:space="preserve">Geoscience and Remote Sensing, IEEE Transactions on</w:t>
      </w:r>
      <w:r>
        <w:t xml:space="preserve"> </w:t>
      </w:r>
      <w:r>
        <w:t xml:space="preserve">51 (December): 5252–58.</w:t>
      </w:r>
      <w:r>
        <w:t xml:space="preserve"> </w:t>
      </w:r>
      <w:hyperlink r:id="rId276">
        <w:r>
          <w:rPr>
            <w:rStyle w:val="Hyperlink"/>
          </w:rPr>
          <w:t xml:space="preserve">https://doi.org/10.1109/TGRS.2012.2233206</w:t>
        </w:r>
      </w:hyperlink>
      <w:r>
        <w:t xml:space="preserve">.</w:t>
      </w:r>
    </w:p>
    <w:bookmarkEnd w:id="277"/>
    <w:bookmarkStart w:id="279" w:name="ref-yamaguchi2011"/>
    <w:p>
      <w:pPr>
        <w:pStyle w:val="Literaturverzeichnis"/>
      </w:pPr>
      <w:r>
        <w:t xml:space="preserve">Yamaguchi, Yoshio, Akinobu Sato, Wolfgang-Martin Boerner, Ryoichi Sato, and Hiroyoshi Yamada. 2011.</w:t>
      </w:r>
      <w:r>
        <w:t xml:space="preserve"> </w:t>
      </w:r>
      <w:r>
        <w:t xml:space="preserve">“Four-Component Scattering Power Decomposition with Rotation of Coherency Matrix.”</w:t>
      </w:r>
      <w:r>
        <w:t xml:space="preserve"> </w:t>
      </w:r>
      <w:r>
        <w:rPr>
          <w:i/>
          <w:iCs/>
        </w:rPr>
        <w:t xml:space="preserve">Geoscience and Remote Sensing, IEEE Transactions on</w:t>
      </w:r>
      <w:r>
        <w:t xml:space="preserve"> </w:t>
      </w:r>
      <w:r>
        <w:t xml:space="preserve">49 (July): 2251–58.</w:t>
      </w:r>
      <w:r>
        <w:t xml:space="preserve"> </w:t>
      </w:r>
      <w:hyperlink r:id="rId278">
        <w:r>
          <w:rPr>
            <w:rStyle w:val="Hyperlink"/>
          </w:rPr>
          <w:t xml:space="preserve">https://doi.org/10.1109/TGRS.2010.2099124</w:t>
        </w:r>
      </w:hyperlink>
      <w:r>
        <w:t xml:space="preserve">.</w:t>
      </w:r>
    </w:p>
    <w:bookmarkEnd w:id="279"/>
    <w:bookmarkStart w:id="281"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80">
        <w:r>
          <w:rPr>
            <w:rStyle w:val="Hyperlink"/>
          </w:rPr>
          <w:t xml:space="preserve">https://doi.org/10.1109/LGRS.2017.2753580</w:t>
        </w:r>
      </w:hyperlink>
      <w:r>
        <w:t xml:space="preserve">.</w:t>
      </w:r>
    </w:p>
    <w:bookmarkEnd w:id="281"/>
    <w:bookmarkStart w:id="283"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82">
        <w:r>
          <w:rPr>
            <w:rStyle w:val="Hyperlink"/>
          </w:rPr>
          <w:t xml:space="preserve">https://doi.org/10.1109/TGRS.2010.2051333</w:t>
        </w:r>
      </w:hyperlink>
      <w:r>
        <w:t xml:space="preserve">.</w:t>
      </w:r>
    </w:p>
    <w:bookmarkEnd w:id="283"/>
    <w:bookmarkEnd w:id="284"/>
    <w:p>
      <w:r>
        <w:br w:type="page"/>
      </w:r>
    </w:p>
    <w:bookmarkEnd w:id="285"/>
    <w:bookmarkStart w:id="321" w:name="annexes"/>
    <w:p>
      <w:pPr>
        <w:pStyle w:val="berschrift2"/>
      </w:pPr>
      <w:r>
        <w:t xml:space="preserve">Annexes</w:t>
      </w:r>
    </w:p>
    <w:bookmarkStart w:id="287"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2"/>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2"/>
        </w:numPr>
      </w:pPr>
      <w:r>
        <w:t xml:space="preserve">Apply instrument calibration to produce Beta-Nought values with high fidelity.</w:t>
      </w:r>
    </w:p>
    <w:p>
      <w:pPr>
        <w:pStyle w:val="Compact"/>
        <w:numPr>
          <w:ilvl w:val="0"/>
          <w:numId w:val="1112"/>
        </w:numPr>
      </w:pPr>
      <w:r>
        <w:t xml:space="preserve">Convert Single-Look-Complex (SLC) radiometric channel(s) to intensity NRB, ORB and POL and in addition for POL, the cross-product element(s) of the covariance as shown in Section </w:t>
      </w:r>
      <w:r>
        <w:t xml:space="preserve">“</w:t>
      </w:r>
      <w:hyperlink w:anchor="sec:annex-sar-pol-covmat">
        <w:r>
          <w:rPr>
            <w:rStyle w:val="Hyperlink"/>
          </w:rPr>
          <w:t xml:space="preserve">Normalised Covariance Matrices (CovMat)</w:t>
        </w:r>
      </w:hyperlink>
      <w:r>
        <w:t xml:space="preserve">”</w:t>
      </w:r>
      <w:r>
        <w:t xml:space="preserve">.</w:t>
      </w:r>
    </w:p>
    <w:p>
      <w:pPr>
        <w:pStyle w:val="Compact"/>
        <w:numPr>
          <w:ilvl w:val="0"/>
          <w:numId w:val="1112"/>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2"/>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2"/>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2"/>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2"/>
        </w:numPr>
      </w:pPr>
      <w:r>
        <w:t xml:space="preserve">Generate CEOS format metadata to accompany product layers.</w:t>
      </w:r>
    </w:p>
    <w:p>
      <w:pPr>
        <w:pStyle w:val="Compact"/>
        <w:numPr>
          <w:ilvl w:val="0"/>
          <w:numId w:val="1112"/>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86"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86"/>
    <w:bookmarkEnd w:id="287"/>
    <w:bookmarkStart w:id="299"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88"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88"/>
    </w:p>
    <w:p>
      <w:pPr>
        <w:pStyle w:val="FirstParagraph"/>
      </w:pPr>
      <w:r>
        <w:t xml:space="preserve">Where</w:t>
      </w:r>
    </w:p>
    <w:p>
      <w:pPr>
        <w:pStyle w:val="Textkrper"/>
      </w:pPr>
      <w:bookmarkStart w:id="289"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89"/>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3"/>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3"/>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90"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90"/>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91"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91"/>
    </w:p>
    <w:p>
      <w:pPr>
        <w:pStyle w:val="FirstParagraph"/>
      </w:pPr>
      <w:bookmarkStart w:id="292"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92"/>
    </w:p>
    <w:p>
      <w:pPr>
        <w:pStyle w:val="FirstParagraph"/>
      </w:pPr>
      <w:r>
        <w:t xml:space="preserve">The differential phase is</w:t>
      </w:r>
    </w:p>
    <w:p>
      <w:pPr>
        <w:pStyle w:val="Textkrper"/>
      </w:pPr>
      <w:bookmarkStart w:id="293"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93"/>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94"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94"/>
    </w:p>
    <w:p>
      <w:pPr>
        <w:pStyle w:val="FirstParagraph"/>
      </w:pPr>
      <w:bookmarkStart w:id="295"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95"/>
    </w:p>
    <w:p>
      <w:pPr>
        <w:pStyle w:val="FirstParagraph"/>
      </w:pPr>
      <w:bookmarkStart w:id="296"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96"/>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97"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97"/>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98"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98"/>
    </w:p>
    <w:bookmarkEnd w:id="299"/>
    <w:bookmarkStart w:id="306" w:name="sec:annex-sar-pol-covmat"/>
    <w:p>
      <w:pPr>
        <w:pStyle w:val="berschrift3"/>
      </w:pPr>
      <w:r>
        <w:t xml:space="preserve">Normalised Covariance Matrices (CovMat)</w:t>
      </w:r>
    </w:p>
    <w:p>
      <w:pPr>
        <w:pStyle w:val="FirstParagraph"/>
      </w:pPr>
      <w:r>
        <w:t xml:space="preserve">In order to preserve the inter-channel polarimetric phase and thus the full information content of coherent dual-pol and fully polarimetric data, the covariance matrix is proposed as the data storage format. Covariance matrices are generated from the complex cross product of polarimetric channels, as shown in Eq. </w:t>
      </w:r>
      <w:hyperlink w:anchor="eq:sar-pol-covmat-eq1">
        <w:r>
          <w:rPr>
            <w:rStyle w:val="Hyperlink"/>
          </w:rPr>
          <w:t xml:space="preserve">12</w:t>
        </w:r>
      </w:hyperlink>
      <w:r>
        <w:t xml:space="preserve"> </w:t>
      </w:r>
      <w:r>
        <w:t xml:space="preserve">for fully polarimetric data (C3) and in Eq. </w:t>
      </w:r>
      <w:hyperlink w:anchor="eq:sar-pol-covmat-eq3">
        <w:r>
          <w:rPr>
            <w:rStyle w:val="Hyperlink"/>
          </w:rPr>
          <w:t xml:space="preserve">14</w:t>
        </w:r>
      </w:hyperlink>
      <w:r>
        <w:t xml:space="preserve"> </w:t>
      </w:r>
      <w:r>
        <w:t xml:space="preserve">for dual polarization data (C2). Since these matrices are complex symmetrical, only the upper diagonal elements (bold elements) need to be stored in the ARD database.</w:t>
      </w:r>
    </w:p>
    <w:p>
      <w:pPr>
        <w:pStyle w:val="Textkrper"/>
      </w:pPr>
      <w:r>
        <w:rPr>
          <w:b/>
          <w:bCs/>
        </w:rPr>
        <w:t xml:space="preserve">Fully polarimetric</w:t>
      </w:r>
    </w:p>
    <w:p>
      <w:pPr>
        <w:pStyle w:val="Textkrper"/>
      </w:pPr>
      <w:bookmarkStart w:id="300" w:name="eq:sar-pol-covmat-eq1"/>
      <m:oMathPara>
        <m:oMathParaPr>
          <m:jc m:val="center"/>
        </m:oMathParaPr>
        <m:oMath>
          <m:r>
            <m:t>C</m:t>
          </m:r>
          <m:r>
            <m:t>3</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ad>
                      <m:radPr>
                        <m:degHide m:val="on"/>
                      </m:radPr>
                      <m:deg/>
                      <m:e>
                        <m:r>
                          <m:t>2</m:t>
                        </m:r>
                      </m:e>
                    </m:rad>
                    <m:r>
                      <m:rPr>
                        <m:sty m:val="p"/>
                      </m:rPr>
                      <m:t>⋅</m:t>
                    </m:r>
                    <m:r>
                      <m:rPr>
                        <m:sty m:val="b"/>
                      </m:rPr>
                      <m:t>H</m:t>
                    </m:r>
                    <m:r>
                      <m:rPr>
                        <m:sty m:val="b"/>
                      </m:rPr>
                      <m:t>H</m:t>
                    </m:r>
                    <m:r>
                      <m:rPr>
                        <m:sty m:val="p"/>
                      </m:rPr>
                      <m:t>⋅</m:t>
                    </m:r>
                    <m:r>
                      <m:rPr>
                        <m:sty m:val="b"/>
                      </m:rPr>
                      <m:t>H</m:t>
                    </m:r>
                    <m:sSup>
                      <m:e>
                        <m:r>
                          <m:rPr>
                            <m:sty m:val="b"/>
                          </m:rPr>
                          <m:t>V</m:t>
                        </m:r>
                      </m:e>
                      <m:sup>
                        <m:r>
                          <m:rPr>
                            <m:sty m:val="p"/>
                          </m:rPr>
                          <m:t>*</m:t>
                        </m:r>
                      </m:sup>
                    </m:sSup>
                  </m:e>
                  <m:e>
                    <m:r>
                      <m:rPr>
                        <m:sty m:val="b"/>
                      </m:rPr>
                      <m:t>H</m:t>
                    </m:r>
                    <m:r>
                      <m:rPr>
                        <m:sty m:val="b"/>
                      </m:rPr>
                      <m:t>H</m:t>
                    </m:r>
                    <m:r>
                      <m:rPr>
                        <m:sty m:val="p"/>
                      </m:rPr>
                      <m:t>⋅</m:t>
                    </m:r>
                    <m:r>
                      <m:rPr>
                        <m:sty m:val="b"/>
                      </m:rPr>
                      <m:t>V</m:t>
                    </m:r>
                    <m:sSup>
                      <m:e>
                        <m:r>
                          <m:rPr>
                            <m:sty m:val="b"/>
                          </m:rPr>
                          <m:t>V</m:t>
                        </m:r>
                      </m:e>
                      <m:sup>
                        <m:r>
                          <m:rPr>
                            <m:sty m:val="p"/>
                          </m:rPr>
                          <m:t>*</m:t>
                        </m:r>
                      </m:sup>
                    </m:sSup>
                  </m:e>
                </m:mr>
                <m:mr>
                  <m:e>
                    <m:rad>
                      <m:radPr>
                        <m:degHide m:val="on"/>
                      </m:radPr>
                      <m:deg/>
                      <m:e>
                        <m:r>
                          <m:t>2</m:t>
                        </m:r>
                      </m:e>
                    </m:rad>
                    <m:r>
                      <m:rPr>
                        <m:sty m:val="p"/>
                      </m:rPr>
                      <m:t>⋅</m:t>
                    </m:r>
                    <m:r>
                      <m:t>H</m:t>
                    </m:r>
                    <m:r>
                      <m:t>V</m:t>
                    </m:r>
                    <m:r>
                      <m:rPr>
                        <m:sty m:val="p"/>
                      </m:rPr>
                      <m:t>⋅</m:t>
                    </m:r>
                    <m:r>
                      <m:t>H</m:t>
                    </m:r>
                    <m:sSup>
                      <m:e>
                        <m:r>
                          <m:t>H</m:t>
                        </m:r>
                      </m:e>
                      <m:sup>
                        <m:r>
                          <m:rPr>
                            <m:sty m:val="p"/>
                          </m:rPr>
                          <m:t>*</m:t>
                        </m:r>
                      </m:sup>
                    </m:sSup>
                  </m:e>
                  <m:e>
                    <m:r>
                      <m:t>2</m:t>
                    </m:r>
                    <m:r>
                      <m:rPr>
                        <m:sty m:val="p"/>
                      </m:rPr>
                      <m:t>⋅</m:t>
                    </m:r>
                    <m:sSup>
                      <m:e>
                        <m:d>
                          <m:dPr>
                            <m:begChr m:val="|"/>
                            <m:sepChr m:val=""/>
                            <m:endChr m:val="|"/>
                            <m:grow/>
                          </m:dPr>
                          <m:e>
                            <m:r>
                              <m:rPr>
                                <m:sty m:val="b"/>
                              </m:rPr>
                              <m:t>H</m:t>
                            </m:r>
                            <m:r>
                              <m:rPr>
                                <m:sty m:val="b"/>
                              </m:rPr>
                              <m:t>V</m:t>
                            </m:r>
                          </m:e>
                        </m:d>
                      </m:e>
                      <m:sup>
                        <m:r>
                          <m:t>2</m:t>
                        </m:r>
                      </m:sup>
                    </m:sSup>
                  </m:e>
                  <m:e>
                    <m:rad>
                      <m:radPr>
                        <m:degHide m:val="on"/>
                      </m:radPr>
                      <m:deg/>
                      <m:e>
                        <m:r>
                          <m:t>2</m:t>
                        </m:r>
                      </m:e>
                    </m:rad>
                    <m:r>
                      <m:rPr>
                        <m:sty m:val="p"/>
                      </m:rPr>
                      <m:t>⋅</m:t>
                    </m:r>
                    <m:r>
                      <m:rPr>
                        <m:sty m:val="b"/>
                      </m:rPr>
                      <m:t>H</m:t>
                    </m:r>
                    <m:r>
                      <m:rPr>
                        <m:sty m:val="b"/>
                      </m:rPr>
                      <m:t>V</m:t>
                    </m:r>
                    <m:r>
                      <m:rPr>
                        <m:sty m:val="p"/>
                      </m:rPr>
                      <m:t>⋅</m:t>
                    </m:r>
                    <m:r>
                      <m:rPr>
                        <m:sty m:val="b"/>
                      </m:rPr>
                      <m:t>H</m:t>
                    </m:r>
                    <m:sSup>
                      <m:e>
                        <m:r>
                          <m:rPr>
                            <m:sty m:val="b"/>
                          </m:rPr>
                          <m:t>V</m:t>
                        </m:r>
                      </m:e>
                      <m:sup>
                        <m:r>
                          <m:rPr>
                            <m:sty m:val="p"/>
                          </m:rPr>
                          <m:t>*</m:t>
                        </m:r>
                      </m:sup>
                    </m:sSup>
                  </m:e>
                </m:mr>
                <m:mr>
                  <m:e>
                    <m:r>
                      <m:t>V</m:t>
                    </m:r>
                    <m:r>
                      <m:t>V</m:t>
                    </m:r>
                    <m:r>
                      <m:rPr>
                        <m:sty m:val="p"/>
                      </m:rPr>
                      <m:t>⋅</m:t>
                    </m:r>
                    <m:r>
                      <m:t>H</m:t>
                    </m:r>
                    <m:sSup>
                      <m:e>
                        <m:r>
                          <m:t>H</m:t>
                        </m:r>
                      </m:e>
                      <m:sup>
                        <m:r>
                          <m:rPr>
                            <m:sty m:val="p"/>
                          </m:rPr>
                          <m:t>*</m:t>
                        </m:r>
                      </m:sup>
                    </m:sSup>
                  </m:e>
                  <m:e>
                    <m:rad>
                      <m:radPr>
                        <m:degHide m:val="on"/>
                      </m:radPr>
                      <m:deg/>
                      <m:e>
                        <m:r>
                          <m:t>2</m:t>
                        </m:r>
                      </m:e>
                    </m:rad>
                    <m:r>
                      <m:rPr>
                        <m:sty m:val="p"/>
                      </m:rPr>
                      <m:t>⋅</m:t>
                    </m:r>
                    <m:r>
                      <m:t>V</m:t>
                    </m:r>
                    <m:r>
                      <m:t>V</m:t>
                    </m:r>
                    <m:r>
                      <m:rPr>
                        <m:sty m:val="p"/>
                      </m:rPr>
                      <m:t>⋅</m:t>
                    </m:r>
                    <m:r>
                      <m:t>H</m:t>
                    </m:r>
                    <m:sSup>
                      <m:e>
                        <m:r>
                          <m:t>V</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12</m:t>
              </m:r>
            </m:e>
          </m:d>
        </m:oMath>
      </m:oMathPara>
      <w:bookmarkEnd w:id="300"/>
    </w:p>
    <w:p>
      <w:pPr>
        <w:pStyle w:val="FirstParagraph"/>
      </w:pPr>
      <w:r>
        <w:t xml:space="preserve">Where HV = VH, under the reciprocity assumption. | | and * mean respectively complex modulus and the complex conjugate.</w:t>
      </w:r>
    </w:p>
    <w:p>
      <w:pPr>
        <w:pStyle w:val="Textkrper"/>
      </w:pPr>
      <w:r>
        <w:rPr>
          <w:b/>
          <w:bCs/>
        </w:rPr>
        <w:t xml:space="preserve">Dual polarization</w:t>
      </w:r>
    </w:p>
    <w:p>
      <w:pPr>
        <w:pStyle w:val="Textkrper"/>
      </w:pPr>
      <w:bookmarkStart w:id="301" w:name="eq:sar-pol-covmat-eq2"/>
      <m:oMathPara>
        <m:oMathParaPr>
          <m:jc m:val="center"/>
        </m:oMathParaPr>
        <m:oMath>
          <m:r>
            <m:rPr>
              <m:nor/>
              <m:sty m:val="p"/>
            </m:rPr>
            <m:t>HH-HV: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
                      <m:rPr>
                        <m:sty m:val="b"/>
                      </m:rPr>
                      <m:t>H</m:t>
                    </m:r>
                    <m:r>
                      <m:rPr>
                        <m:sty m:val="b"/>
                      </m:rPr>
                      <m:t>H</m:t>
                    </m:r>
                    <m:r>
                      <m:rPr>
                        <m:sty m:val="p"/>
                      </m:rPr>
                      <m:t>⋅</m:t>
                    </m:r>
                    <m:r>
                      <m:rPr>
                        <m:sty m:val="b"/>
                      </m:rPr>
                      <m:t>H</m:t>
                    </m:r>
                    <m:sSup>
                      <m:e>
                        <m:r>
                          <m:rPr>
                            <m:sty m:val="b"/>
                          </m:rPr>
                          <m:t>V</m:t>
                        </m:r>
                      </m:e>
                      <m:sup>
                        <m:r>
                          <m:rPr>
                            <m:sty m:val="p"/>
                          </m:rPr>
                          <m:t>*</m:t>
                        </m:r>
                      </m:sup>
                    </m:sSup>
                  </m:e>
                </m:mr>
                <m:mr>
                  <m:e>
                    <m:r>
                      <m:t>H</m:t>
                    </m:r>
                    <m:r>
                      <m:t>V</m:t>
                    </m:r>
                    <m:r>
                      <m:rPr>
                        <m:sty m:val="p"/>
                      </m:rPr>
                      <m:t>⋅</m:t>
                    </m:r>
                    <m:r>
                      <m:t>H</m:t>
                    </m:r>
                    <m:sSup>
                      <m:e>
                        <m:r>
                          <m:t>H</m:t>
                        </m:r>
                      </m:e>
                      <m:sup>
                        <m:r>
                          <m:rPr>
                            <m:sty m:val="p"/>
                          </m:rPr>
                          <m:t>*</m:t>
                        </m:r>
                      </m:sup>
                    </m:sSup>
                  </m:e>
                  <m:e>
                    <m:sSup>
                      <m:e>
                        <m:d>
                          <m:dPr>
                            <m:begChr m:val="|"/>
                            <m:sepChr m:val=""/>
                            <m:endChr m:val="|"/>
                            <m:grow/>
                          </m:dPr>
                          <m:e>
                            <m:r>
                              <m:rPr>
                                <m:sty m:val="b"/>
                              </m:rPr>
                              <m:t>H</m:t>
                            </m:r>
                            <m:r>
                              <m:rPr>
                                <m:sty m:val="b"/>
                              </m:rPr>
                              <m:t>V</m:t>
                            </m:r>
                          </m:e>
                        </m:d>
                      </m:e>
                      <m:sup>
                        <m:r>
                          <m:t>2</m:t>
                        </m:r>
                      </m:sup>
                    </m:sSup>
                  </m:e>
                </m:mr>
              </m:m>
            </m:e>
          </m:d>
          <m:r>
            <m:t>  </m:t>
          </m:r>
          <m:d>
            <m:dPr>
              <m:begChr m:val="("/>
              <m:sepChr m:val=""/>
              <m:endChr m:val=")"/>
              <m:grow/>
            </m:dPr>
            <m:e>
              <m:r>
                <m:t>13</m:t>
              </m:r>
            </m:e>
          </m:d>
        </m:oMath>
      </m:oMathPara>
      <w:bookmarkEnd w:id="301"/>
    </w:p>
    <w:p>
      <w:pPr>
        <w:pStyle w:val="FirstParagraph"/>
      </w:pPr>
      <w:bookmarkStart w:id="302" w:name="eq:sar-pol-covmat-eq3"/>
      <m:oMathPara>
        <m:oMathParaPr>
          <m:jc m:val="center"/>
        </m:oMathParaPr>
        <m:oMath>
          <m:r>
            <m:rPr>
              <m:nor/>
              <m:sty m:val="p"/>
            </m:rPr>
            <m:t>VV-VH:</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V</m:t>
                            </m:r>
                            <m:r>
                              <m:rPr>
                                <m:sty m:val="b"/>
                              </m:rPr>
                              <m:t>H</m:t>
                            </m:r>
                          </m:e>
                        </m:d>
                      </m:e>
                      <m:sup>
                        <m:r>
                          <m:t>2</m:t>
                        </m:r>
                      </m:sup>
                    </m:sSup>
                  </m:e>
                  <m:e>
                    <m:r>
                      <m:rPr>
                        <m:sty m:val="b"/>
                      </m:rPr>
                      <m:t>V</m:t>
                    </m:r>
                    <m:r>
                      <m:rPr>
                        <m:sty m:val="b"/>
                      </m:rPr>
                      <m:t>H</m:t>
                    </m:r>
                    <m:r>
                      <m:rPr>
                        <m:sty m:val="p"/>
                      </m:rPr>
                      <m:t>⋅</m:t>
                    </m:r>
                    <m:r>
                      <m:rPr>
                        <m:sty m:val="b"/>
                      </m:rPr>
                      <m:t>V</m:t>
                    </m:r>
                    <m:sSup>
                      <m:e>
                        <m:r>
                          <m:rPr>
                            <m:sty m:val="b"/>
                          </m:rPr>
                          <m:t>H</m:t>
                        </m:r>
                      </m:e>
                      <m:sup>
                        <m:r>
                          <m:rPr>
                            <m:sty m:val="p"/>
                          </m:rPr>
                          <m:t>*</m:t>
                        </m:r>
                      </m:sup>
                    </m:sSup>
                  </m:e>
                </m:mr>
                <m:mr>
                  <m:e>
                    <m:r>
                      <m:t>V</m:t>
                    </m:r>
                    <m:r>
                      <m:t>H</m:t>
                    </m:r>
                    <m:r>
                      <m:rPr>
                        <m:sty m:val="p"/>
                      </m:rPr>
                      <m:t>⋅</m:t>
                    </m:r>
                    <m:r>
                      <m:t>V</m:t>
                    </m:r>
                    <m:sSup>
                      <m:e>
                        <m:r>
                          <m:t>H</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14</m:t>
              </m:r>
            </m:e>
          </m:d>
        </m:oMath>
      </m:oMathPara>
      <w:bookmarkEnd w:id="302"/>
    </w:p>
    <w:p>
      <w:pPr>
        <w:pStyle w:val="FirstParagraph"/>
      </w:pPr>
      <w:bookmarkStart w:id="303" w:name="eq:eq:sar-pol-covmat-eq4"/>
      <m:oMathPara>
        <m:oMathParaPr>
          <m:jc m:val="center"/>
        </m:oMathParaPr>
        <m:oMath>
          <m:r>
            <m:rPr>
              <m:nor/>
              <m:sty m:val="p"/>
            </m:rPr>
            <m:t>CH-CV: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C</m:t>
                            </m:r>
                            <m:r>
                              <m:rPr>
                                <m:sty m:val="b"/>
                              </m:rPr>
                              <m:t>H</m:t>
                            </m:r>
                          </m:e>
                        </m:d>
                      </m:e>
                      <m:sup>
                        <m:r>
                          <m:t>2</m:t>
                        </m:r>
                      </m:sup>
                    </m:sSup>
                  </m:e>
                  <m:e>
                    <m:r>
                      <m:rPr>
                        <m:sty m:val="b"/>
                      </m:rPr>
                      <m:t>C</m:t>
                    </m:r>
                    <m:r>
                      <m:rPr>
                        <m:sty m:val="b"/>
                      </m:rPr>
                      <m:t>H</m:t>
                    </m:r>
                    <m:r>
                      <m:rPr>
                        <m:sty m:val="p"/>
                      </m:rPr>
                      <m:t>⋅</m:t>
                    </m:r>
                    <m:r>
                      <m:rPr>
                        <m:sty m:val="b"/>
                      </m:rPr>
                      <m:t>C</m:t>
                    </m:r>
                    <m:sSup>
                      <m:e>
                        <m:r>
                          <m:rPr>
                            <m:sty m:val="b"/>
                          </m:rPr>
                          <m:t>V</m:t>
                        </m:r>
                      </m:e>
                      <m:sup>
                        <m:r>
                          <m:rPr>
                            <m:sty m:val="p"/>
                          </m:rPr>
                          <m:t>*</m:t>
                        </m:r>
                      </m:sup>
                    </m:sSup>
                  </m:e>
                </m:mr>
                <m:mr>
                  <m:e>
                    <m:r>
                      <m:t>C</m:t>
                    </m:r>
                    <m:r>
                      <m:t>V</m:t>
                    </m:r>
                    <m:r>
                      <m:rPr>
                        <m:sty m:val="p"/>
                      </m:rPr>
                      <m:t>⋅</m:t>
                    </m:r>
                    <m:r>
                      <m:t>C</m:t>
                    </m:r>
                    <m:sSup>
                      <m:e>
                        <m:r>
                          <m:t>H</m:t>
                        </m:r>
                      </m:e>
                      <m:sup>
                        <m:r>
                          <m:rPr>
                            <m:sty m:val="p"/>
                          </m:rPr>
                          <m:t>*</m:t>
                        </m:r>
                      </m:sup>
                    </m:sSup>
                  </m:e>
                  <m:e>
                    <m:sSup>
                      <m:e>
                        <m:d>
                          <m:dPr>
                            <m:begChr m:val="|"/>
                            <m:sepChr m:val=""/>
                            <m:endChr m:val="|"/>
                            <m:grow/>
                          </m:dPr>
                          <m:e>
                            <m:r>
                              <m:rPr>
                                <m:sty m:val="b"/>
                              </m:rPr>
                              <m:t>C</m:t>
                            </m:r>
                            <m:r>
                              <m:rPr>
                                <m:sty m:val="b"/>
                              </m:rPr>
                              <m:t>V</m:t>
                            </m:r>
                          </m:e>
                        </m:d>
                      </m:e>
                      <m:sup>
                        <m:r>
                          <m:t>2</m:t>
                        </m:r>
                      </m:sup>
                    </m:sSup>
                  </m:e>
                </m:mr>
              </m:m>
            </m:e>
          </m:d>
          <m:r>
            <m:t>  </m:t>
          </m:r>
          <m:d>
            <m:dPr>
              <m:begChr m:val="("/>
              <m:sepChr m:val=""/>
              <m:endChr m:val=")"/>
              <m:grow/>
            </m:dPr>
            <m:e>
              <m:r>
                <m:t>15</m:t>
              </m:r>
            </m:e>
          </m:d>
        </m:oMath>
      </m:oMathPara>
      <w:bookmarkEnd w:id="303"/>
    </w:p>
    <w:p>
      <w:pPr>
        <w:pStyle w:val="FirstParagraph"/>
      </w:pPr>
      <w:r>
        <w:t xml:space="preserve">Where CH and CV refer to dual polarization transmitting a circular polarized signal. [CH, CV] can be replaced by [LH, LV] or [RH, RV] for left (L) or right (R) hand circular transmission respectively, although RCM will offer only right-hand circular transmission. The coherent HH-VV configuration available on TerraSAR-X could also be represented as C2 format.</w:t>
      </w:r>
    </w:p>
    <w:p>
      <w:pPr>
        <w:pStyle w:val="Textkrper"/>
      </w:pPr>
      <w:r>
        <w:t xml:space="preserve">Polarimetric decomposition methods like</w:t>
      </w:r>
      <w:r>
        <w:t xml:space="preserve"> </w:t>
      </w:r>
      <w:r>
        <w:t xml:space="preserve">(</w:t>
      </w:r>
      <w:hyperlink w:anchor="ref-yamaguchi2011">
        <w:r>
          <w:rPr>
            <w:rStyle w:val="Hyperlink"/>
          </w:rPr>
          <w:t xml:space="preserve">Yamaguchi et al. 2011</w:t>
        </w:r>
      </w:hyperlink>
      <w:r>
        <w:t xml:space="preserve">)</w:t>
      </w:r>
      <w:r>
        <w:t xml:space="preserve"> </w:t>
      </w:r>
      <w:r>
        <w:t xml:space="preserve">for fully polarimetric, or m-chi</w:t>
      </w:r>
      <w:r>
        <w:t xml:space="preserve"> </w:t>
      </w:r>
      <w:r>
        <w:t xml:space="preserve">(</w:t>
      </w:r>
      <w:hyperlink w:anchor="ref-raney2012">
        <w:r>
          <w:rPr>
            <w:rStyle w:val="Hyperlink"/>
          </w:rPr>
          <w:t xml:space="preserve">Raney et al. 2012</w:t>
        </w:r>
      </w:hyperlink>
      <w:r>
        <w:t xml:space="preserve">)</w:t>
      </w:r>
      <w:r>
        <w:t xml:space="preserve"> </w:t>
      </w:r>
      <w:r>
        <w:t xml:space="preserve">for compact polarimetric data, can be applied directly on averaged (speckle filtered) C3 and C2 matrices respectively. These decompositions enhance scattering information, bring it to a more comprehensible level to end-users, and raise the performance of thematic classification methodologies. For SAR products that were acquired with single polarization the use of the covariance matrix does not result in superfluous storage requirements, since only the matrix elements that are populated are retained and the diagonal matrix elements are the backscatter intensities. Thus, a single channel intensity product would yield only one matrix element and the storage needs would not change.</w:t>
      </w:r>
    </w:p>
    <w:p>
      <w:pPr>
        <w:pStyle w:val="Textkrper"/>
      </w:pPr>
      <w:r>
        <w:t xml:space="preserve">In order to ease the data structure and the metadata in between C3 and C2, Eq. </w:t>
      </w:r>
      <w:hyperlink w:anchor="eq:sar-pol-covmat-eq1">
        <w:r>
          <w:rPr>
            <w:rStyle w:val="Hyperlink"/>
          </w:rPr>
          <w:t xml:space="preserve">12</w:t>
        </w:r>
      </w:hyperlink>
      <w:r>
        <w:t xml:space="preserve"> </w:t>
      </w:r>
      <w:r>
        <w:t xml:space="preserve">should be redefined as Eq. </w:t>
      </w:r>
      <w:hyperlink w:anchor="eq:sar-pol-covmat-eq5">
        <w:r>
          <w:rPr>
            <w:rStyle w:val="Hyperlink"/>
          </w:rPr>
          <w:t xml:space="preserve">16</w:t>
        </w:r>
      </w:hyperlink>
      <w:r>
        <w:t xml:space="preserve">. Users will have to take care of this non-standard representation when applying their polarimetric analytic tools.</w:t>
      </w:r>
      <w:r>
        <w:t xml:space="preserve"> </w:t>
      </w:r>
      <w:r>
        <w:t xml:space="preserve">“&lt; &gt;”</w:t>
      </w:r>
      <w:r>
        <w:t xml:space="preserve"> </w:t>
      </w:r>
      <w:r>
        <w:t xml:space="preserve">means that ARD matrix elements are speckle filtered. Eq. </w:t>
      </w:r>
      <w:hyperlink w:anchor="eq:sar-pol-covmat-eq5">
        <w:r>
          <w:rPr>
            <w:rStyle w:val="Hyperlink"/>
          </w:rPr>
          <w:t xml:space="preserve">16</w:t>
        </w:r>
      </w:hyperlink>
      <w:r>
        <w:t xml:space="preserve"> </w:t>
      </w:r>
      <w:r>
        <w:t xml:space="preserve">is valid both for dual-linear and quad polarization.</w:t>
      </w:r>
    </w:p>
    <w:p>
      <w:pPr>
        <w:pStyle w:val="Textkrper"/>
      </w:pPr>
      <w:bookmarkStart w:id="304" w:name="eq:sar-pol-covmat-eq5"/>
      <m:oMathPara>
        <m:oMathParaPr>
          <m:jc m:val="center"/>
        </m:oMathParaPr>
        <m:oMath>
          <m:r>
            <m:rPr>
              <m:nor/>
              <m:sty m:val="p"/>
            </m:rPr>
            <m:t>C3 modified:</m:t>
          </m:r>
          <m:r>
            <m:t> </m:t>
          </m:r>
          <m:r>
            <m:t>C</m:t>
          </m:r>
          <m:sSub>
            <m:e>
              <m:r>
                <m:t>3</m:t>
              </m:r>
            </m:e>
            <m:sub>
              <m:r>
                <m:t>m</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p"/>
                              </m:rPr>
                              <m:t>⟨</m:t>
                            </m:r>
                            <m:r>
                              <m:rPr>
                                <m:sty m:val="b"/>
                              </m:rPr>
                              <m:t>H</m:t>
                            </m:r>
                            <m:r>
                              <m:rPr>
                                <m:sty m:val="b"/>
                              </m:rPr>
                              <m:t>H</m:t>
                            </m:r>
                          </m:e>
                        </m:d>
                      </m:e>
                      <m:sup>
                        <m:r>
                          <m:t>2</m:t>
                        </m:r>
                      </m:sup>
                    </m:sSup>
                    <m:r>
                      <m:rPr>
                        <m:sty m:val="p"/>
                      </m:rPr>
                      <m:t>⟩</m:t>
                    </m:r>
                  </m:e>
                  <m:e>
                    <m:r>
                      <m:rPr>
                        <m:sty m:val="p"/>
                      </m:rPr>
                      <m:t>⟨</m:t>
                    </m:r>
                    <m:r>
                      <m:rPr>
                        <m:sty m:val="b"/>
                      </m:rPr>
                      <m:t>H</m:t>
                    </m:r>
                    <m:r>
                      <m:rPr>
                        <m:sty m:val="b"/>
                      </m:rPr>
                      <m:t>H</m:t>
                    </m:r>
                    <m:r>
                      <m:rPr>
                        <m:sty m:val="p"/>
                      </m:rPr>
                      <m:t>⋅</m:t>
                    </m:r>
                    <m:r>
                      <m:rPr>
                        <m:sty m:val="b"/>
                      </m:rPr>
                      <m:t>H</m:t>
                    </m:r>
                    <m:sSup>
                      <m:e>
                        <m:r>
                          <m:rPr>
                            <m:sty m:val="b"/>
                          </m:rPr>
                          <m:t>V</m:t>
                        </m:r>
                      </m:e>
                      <m:sup>
                        <m:r>
                          <m:rPr>
                            <m:sty m:val="p"/>
                          </m:rPr>
                          <m:t>*</m:t>
                        </m:r>
                      </m:sup>
                    </m:sSup>
                    <m:r>
                      <m:rPr>
                        <m:sty m:val="p"/>
                      </m:rPr>
                      <m:t>⟩</m:t>
                    </m:r>
                  </m:e>
                  <m:e>
                    <m:r>
                      <m:rPr>
                        <m:sty m:val="p"/>
                      </m:rPr>
                      <m:t>⟨</m:t>
                    </m:r>
                    <m:r>
                      <m:rPr>
                        <m:sty m:val="b"/>
                      </m:rPr>
                      <m:t>H</m:t>
                    </m:r>
                    <m:r>
                      <m:rPr>
                        <m:sty m:val="b"/>
                      </m:rPr>
                      <m:t>H</m:t>
                    </m:r>
                    <m:r>
                      <m:rPr>
                        <m:sty m:val="p"/>
                      </m:rPr>
                      <m:t>⋅</m:t>
                    </m:r>
                    <m:r>
                      <m:rPr>
                        <m:sty m:val="b"/>
                      </m:rPr>
                      <m:t>V</m:t>
                    </m:r>
                    <m:sSup>
                      <m:e>
                        <m:r>
                          <m:rPr>
                            <m:sty m:val="b"/>
                          </m:rPr>
                          <m:t>V</m:t>
                        </m:r>
                      </m:e>
                      <m:sup>
                        <m:r>
                          <m:rPr>
                            <m:sty m:val="p"/>
                          </m:rPr>
                          <m:t>*</m:t>
                        </m:r>
                      </m:sup>
                    </m:sSup>
                    <m:r>
                      <m:rPr>
                        <m:sty m:val="p"/>
                      </m:rPr>
                      <m:t>⟩</m:t>
                    </m:r>
                  </m:e>
                </m:mr>
                <m:mr>
                  <m:e>
                    <m:r>
                      <m:rPr>
                        <m:sty m:val="p"/>
                      </m:rPr>
                      <m:t>⟨</m:t>
                    </m:r>
                    <m:r>
                      <m:t>H</m:t>
                    </m:r>
                    <m:r>
                      <m:t>V</m:t>
                    </m:r>
                    <m:r>
                      <m:rPr>
                        <m:sty m:val="p"/>
                      </m:rPr>
                      <m:t>⋅</m:t>
                    </m:r>
                    <m:r>
                      <m:t>H</m:t>
                    </m:r>
                    <m:sSup>
                      <m:e>
                        <m:r>
                          <m:t>H</m:t>
                        </m:r>
                      </m:e>
                      <m:sup>
                        <m:r>
                          <m:rPr>
                            <m:sty m:val="p"/>
                          </m:rPr>
                          <m:t>*</m:t>
                        </m:r>
                      </m:sup>
                    </m:sSup>
                    <m:r>
                      <m:rPr>
                        <m:sty m:val="p"/>
                      </m:rPr>
                      <m:t>⟩</m:t>
                    </m:r>
                  </m:e>
                  <m:e>
                    <m:r>
                      <m:rPr>
                        <m:sty m:val="p"/>
                      </m:rPr>
                      <m:t>⟨</m:t>
                    </m:r>
                    <m:sSup>
                      <m:e>
                        <m:d>
                          <m:dPr>
                            <m:begChr m:val="|"/>
                            <m:sepChr m:val=""/>
                            <m:endChr m:val="|"/>
                            <m:grow/>
                          </m:dPr>
                          <m:e>
                            <m:r>
                              <m:rPr>
                                <m:sty m:val="b"/>
                              </m:rPr>
                              <m:t>H</m:t>
                            </m:r>
                            <m:r>
                              <m:rPr>
                                <m:sty m:val="b"/>
                              </m:rPr>
                              <m:t>V</m:t>
                            </m:r>
                          </m:e>
                        </m:d>
                      </m:e>
                      <m:sup>
                        <m:r>
                          <m:t>2</m:t>
                        </m:r>
                      </m:sup>
                    </m:sSup>
                    <m:r>
                      <m:rPr>
                        <m:sty m:val="p"/>
                      </m:rPr>
                      <m:t>⟩</m:t>
                    </m:r>
                  </m:e>
                  <m:e>
                    <m:r>
                      <m:rPr>
                        <m:sty m:val="p"/>
                      </m:rPr>
                      <m:t>⟨</m:t>
                    </m:r>
                    <m:r>
                      <m:rPr>
                        <m:sty m:val="b"/>
                      </m:rPr>
                      <m:t>H</m:t>
                    </m:r>
                    <m:r>
                      <m:rPr>
                        <m:sty m:val="b"/>
                      </m:rPr>
                      <m:t>V</m:t>
                    </m:r>
                    <m:r>
                      <m:rPr>
                        <m:sty m:val="p"/>
                      </m:rPr>
                      <m:t>⋅</m:t>
                    </m:r>
                    <m:r>
                      <m:rPr>
                        <m:sty m:val="b"/>
                      </m:rPr>
                      <m:t>V</m:t>
                    </m:r>
                    <m:sSup>
                      <m:e>
                        <m:r>
                          <m:rPr>
                            <m:sty m:val="b"/>
                          </m:rPr>
                          <m:t>V</m:t>
                        </m:r>
                      </m:e>
                      <m:sup>
                        <m:r>
                          <m:rPr>
                            <m:sty m:val="p"/>
                          </m:rPr>
                          <m:t>*</m:t>
                        </m:r>
                      </m:sup>
                    </m:sSup>
                    <m:r>
                      <m:rPr>
                        <m:sty m:val="p"/>
                      </m:rPr>
                      <m:t>⟩</m:t>
                    </m:r>
                  </m:e>
                </m:mr>
                <m:mr>
                  <m:e>
                    <m:r>
                      <m:rPr>
                        <m:sty m:val="p"/>
                      </m:rPr>
                      <m:t>⟨</m:t>
                    </m:r>
                    <m:r>
                      <m:t>V</m:t>
                    </m:r>
                    <m:r>
                      <m:t>V</m:t>
                    </m:r>
                    <m:r>
                      <m:rPr>
                        <m:sty m:val="p"/>
                      </m:rPr>
                      <m:t>⋅</m:t>
                    </m:r>
                    <m:r>
                      <m:t>H</m:t>
                    </m:r>
                    <m:sSup>
                      <m:e>
                        <m:r>
                          <m:t>H</m:t>
                        </m:r>
                      </m:e>
                      <m:sup>
                        <m:r>
                          <m:rPr>
                            <m:sty m:val="p"/>
                          </m:rPr>
                          <m:t>*</m:t>
                        </m:r>
                      </m:sup>
                    </m:sSup>
                    <m:r>
                      <m:rPr>
                        <m:sty m:val="p"/>
                      </m:rPr>
                      <m:t>⟩</m:t>
                    </m:r>
                  </m:e>
                  <m:e>
                    <m:r>
                      <m:rPr>
                        <m:sty m:val="p"/>
                      </m:rPr>
                      <m:t>⟨</m:t>
                    </m:r>
                    <m:r>
                      <m:t>V</m:t>
                    </m:r>
                    <m:r>
                      <m:t>V</m:t>
                    </m:r>
                    <m:r>
                      <m:rPr>
                        <m:sty m:val="p"/>
                      </m:rPr>
                      <m:t>⋅</m:t>
                    </m:r>
                    <m:r>
                      <m:t>H</m:t>
                    </m:r>
                    <m:sSup>
                      <m:e>
                        <m:r>
                          <m:t>V</m:t>
                        </m:r>
                      </m:e>
                      <m:sup>
                        <m:r>
                          <m:rPr>
                            <m:sty m:val="p"/>
                          </m:rPr>
                          <m:t>*</m:t>
                        </m:r>
                      </m:sup>
                    </m:sSup>
                    <m:r>
                      <m:rPr>
                        <m:sty m:val="p"/>
                      </m:rPr>
                      <m:t>⟩</m:t>
                    </m:r>
                  </m:e>
                  <m:e>
                    <m:r>
                      <m:rPr>
                        <m:sty m:val="p"/>
                      </m:rPr>
                      <m:t>⟨</m:t>
                    </m:r>
                    <m:sSup>
                      <m:e>
                        <m:d>
                          <m:dPr>
                            <m:begChr m:val="|"/>
                            <m:sepChr m:val=""/>
                            <m:endChr m:val="|"/>
                            <m:grow/>
                          </m:dPr>
                          <m:e>
                            <m:r>
                              <m:rPr>
                                <m:sty m:val="b"/>
                              </m:rPr>
                              <m:t>V</m:t>
                            </m:r>
                            <m:r>
                              <m:rPr>
                                <m:sty m:val="b"/>
                              </m:rPr>
                              <m:t>V</m:t>
                            </m:r>
                          </m:e>
                        </m:d>
                      </m:e>
                      <m:sup>
                        <m:r>
                          <m:t>2</m:t>
                        </m:r>
                      </m:sup>
                    </m:sSup>
                    <m:r>
                      <m:rPr>
                        <m:sty m:val="p"/>
                      </m:rPr>
                      <m:t>⟩</m:t>
                    </m:r>
                  </m:e>
                </m:mr>
              </m:m>
            </m:e>
          </m:d>
          <m:r>
            <m:t>  </m:t>
          </m:r>
          <m:d>
            <m:dPr>
              <m:begChr m:val="("/>
              <m:sepChr m:val=""/>
              <m:endChr m:val=")"/>
              <m:grow/>
            </m:dPr>
            <m:e>
              <m:r>
                <m:t>16</m:t>
              </m:r>
            </m:e>
          </m:d>
        </m:oMath>
      </m:oMathPara>
      <w:bookmarkEnd w:id="304"/>
    </w:p>
    <w:p>
      <w:pPr>
        <w:pStyle w:val="FirstParagraph"/>
      </w:pPr>
      <w:r>
        <w:t xml:space="preserve">Furthermore, for compact polarimetric data, it is recommended to store them, by simple transformation, under the circular-circular basis, since RR and RL polarizations (Eq. </w:t>
      </w:r>
      <w:hyperlink w:anchor="eq:sar-pol-covmat-eq6">
        <w:r>
          <w:rPr>
            <w:rStyle w:val="Hyperlink"/>
          </w:rPr>
          <w:t xml:space="preserve">17</w:t>
        </w:r>
      </w:hyperlink>
      <w:r>
        <w:t xml:space="preserve">) permit faster and more intuitive RGB visualizations (R=RR, G=RR/(RR+RL), B= RL).</w:t>
      </w:r>
    </w:p>
    <w:p>
      <w:pPr>
        <w:pStyle w:val="Textkrper"/>
      </w:pPr>
      <w:bookmarkStart w:id="305" w:name="eq:sar-pol-covmat-eq6"/>
      <m:oMathPara>
        <m:oMathParaPr>
          <m:jc m:val="center"/>
        </m:oMathParaPr>
        <m:oMath>
          <m:r>
            <m:rPr>
              <m:nor/>
              <m:sty m:val="p"/>
            </m:rPr>
            <m:t>CH-CV (C2 circular):</m:t>
          </m:r>
          <m:r>
            <m:t> </m:t>
          </m:r>
          <m:r>
            <m:t>C</m:t>
          </m:r>
          <m:sSub>
            <m:e>
              <m:r>
                <m:t>2</m:t>
              </m:r>
            </m:e>
            <m:sub>
              <m:r>
                <m:t>c</m:t>
              </m:r>
            </m:sub>
          </m:sSub>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sSup>
                      <m:e>
                        <m:d>
                          <m:dPr>
                            <m:begChr m:val="|"/>
                            <m:sepChr m:val=""/>
                            <m:endChr m:val="|"/>
                            <m:grow/>
                          </m:dPr>
                          <m:e>
                            <m:r>
                              <m:rPr>
                                <m:sty m:val="b"/>
                              </m:rPr>
                              <m:t>R</m:t>
                            </m:r>
                            <m:r>
                              <m:rPr>
                                <m:sty m:val="b"/>
                              </m:rPr>
                              <m:t>R</m:t>
                            </m:r>
                          </m:e>
                        </m:d>
                      </m:e>
                      <m:sup>
                        <m:r>
                          <m:t>2</m:t>
                        </m:r>
                      </m:sup>
                    </m:sSup>
                    <m:r>
                      <m:rPr>
                        <m:sty m:val="p"/>
                      </m:rPr>
                      <m:t>⟩</m:t>
                    </m:r>
                  </m:e>
                  <m:e>
                    <m:r>
                      <m:rPr>
                        <m:sty m:val="p"/>
                      </m:rPr>
                      <m:t>⟨</m:t>
                    </m:r>
                    <m:r>
                      <m:rPr>
                        <m:sty m:val="b"/>
                      </m:rPr>
                      <m:t>R</m:t>
                    </m:r>
                    <m:r>
                      <m:rPr>
                        <m:sty m:val="b"/>
                      </m:rPr>
                      <m:t>R</m:t>
                    </m:r>
                    <m:r>
                      <m:rPr>
                        <m:sty m:val="p"/>
                      </m:rPr>
                      <m:t>⋅</m:t>
                    </m:r>
                    <m:r>
                      <m:rPr>
                        <m:sty m:val="b"/>
                      </m:rPr>
                      <m:t>R</m:t>
                    </m:r>
                    <m:sSup>
                      <m:e>
                        <m:r>
                          <m:rPr>
                            <m:sty m:val="b"/>
                          </m:rPr>
                          <m:t>¬</m:t>
                        </m:r>
                      </m:e>
                      <m:sup>
                        <m:r>
                          <m:rPr>
                            <m:sty m:val="p"/>
                          </m:rPr>
                          <m:t>*</m:t>
                        </m:r>
                      </m:sup>
                    </m:sSup>
                    <m:r>
                      <m:rPr>
                        <m:sty m:val="p"/>
                      </m:rPr>
                      <m:t>⟩</m:t>
                    </m:r>
                  </m:e>
                </m:mr>
                <m:mr>
                  <m:e>
                    <m:r>
                      <m:rPr>
                        <m:sty m:val="p"/>
                      </m:rPr>
                      <m:t>⟨</m:t>
                    </m:r>
                    <m:r>
                      <m:t>R</m:t>
                    </m:r>
                    <m:r>
                      <m:t>L</m:t>
                    </m:r>
                    <m:r>
                      <m:rPr>
                        <m:sty m:val="p"/>
                      </m:rPr>
                      <m:t>⋅</m:t>
                    </m:r>
                    <m:r>
                      <m:t>R</m:t>
                    </m:r>
                    <m:sSup>
                      <m:e>
                        <m:r>
                          <m:t>R</m:t>
                        </m:r>
                      </m:e>
                      <m:sup>
                        <m:r>
                          <m:rPr>
                            <m:sty m:val="p"/>
                          </m:rPr>
                          <m:t>*</m:t>
                        </m:r>
                      </m:sup>
                    </m:sSup>
                    <m:r>
                      <m:rPr>
                        <m:sty m:val="p"/>
                      </m:rPr>
                      <m:t>⟩</m:t>
                    </m:r>
                  </m:e>
                  <m:e>
                    <m:r>
                      <m:rPr>
                        <m:sty m:val="p"/>
                      </m:rPr>
                      <m:t>⟨</m:t>
                    </m:r>
                    <m:sSup>
                      <m:e>
                        <m:d>
                          <m:dPr>
                            <m:begChr m:val="|"/>
                            <m:sepChr m:val=""/>
                            <m:endChr m:val="|"/>
                            <m:grow/>
                          </m:dPr>
                          <m:e>
                            <m:r>
                              <m:rPr>
                                <m:sty m:val="b"/>
                              </m:rPr>
                              <m:t>R</m:t>
                            </m:r>
                            <m:r>
                              <m:rPr>
                                <m:sty m:val="b"/>
                              </m:rPr>
                              <m:t>L</m:t>
                            </m:r>
                          </m:e>
                        </m:d>
                      </m:e>
                      <m:sup>
                        <m:r>
                          <m:t>2</m:t>
                        </m:r>
                      </m:sup>
                    </m:sSup>
                    <m:r>
                      <m:rPr>
                        <m:sty m:val="p"/>
                      </m:rPr>
                      <m:t>⟩</m:t>
                    </m:r>
                  </m:e>
                </m:mr>
              </m:m>
            </m:e>
          </m:d>
          <m:r>
            <m:t>  </m:t>
          </m:r>
          <m:d>
            <m:dPr>
              <m:begChr m:val="("/>
              <m:sepChr m:val=""/>
              <m:endChr m:val=")"/>
              <m:grow/>
            </m:dPr>
            <m:e>
              <m:r>
                <m:t>17</m:t>
              </m:r>
            </m:e>
          </m:d>
        </m:oMath>
      </m:oMathPara>
      <w:bookmarkEnd w:id="305"/>
    </w:p>
    <w:bookmarkEnd w:id="306"/>
    <w:bookmarkStart w:id="311" w:name="sec:annex-sar-pol-prd"/>
    <w:p>
      <w:pPr>
        <w:pStyle w:val="berschrift3"/>
      </w:pPr>
      <w:r>
        <w:t xml:space="preserve">Polarimetric Radar Decomposition (PRD)</w:t>
      </w:r>
    </w:p>
    <w:p>
      <w:pPr>
        <w:pStyle w:val="FirstParagraph"/>
      </w:pPr>
      <w:r>
        <w:t xml:space="preserve">Different methodologies allow decomposition of coherent dual-polarization data or fully polarimetric data to meaningful components summarizing the scattering processing with the interacting media. Decomposition techniques are divided in two categories: Coherent and incoherent.</w:t>
      </w:r>
    </w:p>
    <w:bookmarkStart w:id="308" w:name="coherent-decompositions"/>
    <w:p>
      <w:pPr>
        <w:pStyle w:val="berschrift4"/>
      </w:pPr>
      <w:r>
        <w:t xml:space="preserve">Coherent decompositions</w:t>
      </w:r>
    </w:p>
    <w:p>
      <w:pPr>
        <w:pStyle w:val="FirstParagraph"/>
      </w:pPr>
      <w:r>
        <w:t xml:space="preserve">Coherent decompositions express the scattering matrix by the summation of elementary objects of known signature (ex.: a sphere, a diplane, a cylinder, a helix, …). They are used mainly to describe point targets which are coherent. As for examples, coherent PRD could be (but not limited to):</w:t>
      </w:r>
    </w:p>
    <w:p>
      <w:pPr>
        <w:numPr>
          <w:ilvl w:val="0"/>
          <w:numId w:val="1114"/>
        </w:numPr>
      </w:pPr>
      <w:r>
        <w:t xml:space="preserve">Pauli decomposition (3 layers)</w:t>
      </w:r>
    </w:p>
    <w:p>
      <w:pPr>
        <w:pStyle w:val="Compact"/>
        <w:numPr>
          <w:ilvl w:val="1"/>
          <w:numId w:val="1115"/>
        </w:numPr>
      </w:pPr>
      <m:oMath>
        <m:sSup>
          <m:e>
            <m:d>
              <m:dPr>
                <m:begChr m:val="|"/>
                <m:sepChr m:val=""/>
                <m:endChr m:val="|"/>
                <m:grow/>
              </m:dPr>
              <m:e>
                <m:r>
                  <m:t>α</m:t>
                </m:r>
              </m:e>
            </m:d>
          </m:e>
          <m:sup>
            <m:r>
              <m:t>2</m:t>
            </m:r>
          </m:sup>
        </m:sSup>
      </m:oMath>
      <w:r>
        <w:t xml:space="preserve">: sphere (odd-bounce interaction) [Intensity]</w:t>
      </w:r>
    </w:p>
    <w:p>
      <w:pPr>
        <w:pStyle w:val="Compact"/>
        <w:numPr>
          <w:ilvl w:val="1"/>
          <w:numId w:val="1115"/>
        </w:numPr>
      </w:pPr>
      <m:oMath>
        <m:sSup>
          <m:e>
            <m:d>
              <m:dPr>
                <m:begChr m:val="|"/>
                <m:sepChr m:val=""/>
                <m:endChr m:val="|"/>
                <m:grow/>
              </m:dPr>
              <m:e>
                <m:r>
                  <m:t>β</m:t>
                </m:r>
              </m:e>
            </m:d>
          </m:e>
          <m:sup>
            <m:r>
              <m:t>2</m:t>
            </m:r>
          </m:sup>
        </m:sSup>
      </m:oMath>
      <w:r>
        <w:t xml:space="preserve">: 0° diplane (even-bounce interaction) [Intensity]</w:t>
      </w:r>
    </w:p>
    <w:p>
      <w:pPr>
        <w:pStyle w:val="Compact"/>
        <w:numPr>
          <w:ilvl w:val="1"/>
          <w:numId w:val="1115"/>
        </w:numPr>
      </w:pPr>
      <m:oMath>
        <m:sSup>
          <m:e>
            <m:d>
              <m:dPr>
                <m:begChr m:val="|"/>
                <m:sepChr m:val=""/>
                <m:endChr m:val="|"/>
                <m:grow/>
              </m:dPr>
              <m:e>
                <m:r>
                  <m:t>γ</m:t>
                </m:r>
              </m:e>
            </m:d>
          </m:e>
          <m:sup>
            <m:r>
              <m:t>2</m:t>
            </m:r>
          </m:sup>
        </m:sSup>
      </m:oMath>
      <w:r>
        <w:t xml:space="preserve">: 45° diplane (volumetric interaction) [Intensity]</w:t>
      </w:r>
    </w:p>
    <w:p>
      <w:pPr>
        <w:numPr>
          <w:ilvl w:val="0"/>
          <w:numId w:val="1114"/>
        </w:numPr>
      </w:pPr>
      <w:r>
        <w:t xml:space="preserve">Krogager decomposition (5 layers)</w:t>
      </w:r>
      <w:r>
        <w:t xml:space="preserve"> </w:t>
      </w:r>
      <w:r>
        <w:t xml:space="preserve">(</w:t>
      </w:r>
      <w:hyperlink w:anchor="ref-krogager1993">
        <w:r>
          <w:rPr>
            <w:rStyle w:val="Hyperlink"/>
          </w:rPr>
          <w:t xml:space="preserve">Krogager, Danmarks Tekniske Hojskole (Lingby, and Establishment 1993</w:t>
        </w:r>
      </w:hyperlink>
      <w:r>
        <w:t xml:space="preserve">)</w:t>
      </w:r>
    </w:p>
    <w:p>
      <w:pPr>
        <w:pStyle w:val="Compact"/>
        <w:numPr>
          <w:ilvl w:val="1"/>
          <w:numId w:val="1116"/>
        </w:numPr>
      </w:pPr>
      <m:oMath>
        <m:sSup>
          <m:e>
            <m:d>
              <m:dPr>
                <m:begChr m:val="|"/>
                <m:sepChr m:val=""/>
                <m:endChr m:val="|"/>
                <m:grow/>
              </m:dPr>
              <m:e>
                <m:sSub>
                  <m:e>
                    <m:r>
                      <m:t>κ</m:t>
                    </m:r>
                  </m:e>
                  <m:sub>
                    <m:r>
                      <m:t>σ</m:t>
                    </m:r>
                  </m:sub>
                </m:sSub>
              </m:e>
            </m:d>
          </m:e>
          <m:sup>
            <m:r>
              <m:t>2</m:t>
            </m:r>
          </m:sup>
        </m:sSup>
      </m:oMath>
      <w:r>
        <w:t xml:space="preserve"> </w:t>
      </w:r>
      <w:r>
        <w:t xml:space="preserve">: sphere (odd-bounce interaction) [Intensity]</w:t>
      </w:r>
    </w:p>
    <w:p>
      <w:pPr>
        <w:pStyle w:val="Compact"/>
        <w:numPr>
          <w:ilvl w:val="1"/>
          <w:numId w:val="1116"/>
        </w:numPr>
      </w:pPr>
      <m:oMath>
        <m:sSup>
          <m:e>
            <m:d>
              <m:dPr>
                <m:begChr m:val="|"/>
                <m:sepChr m:val=""/>
                <m:endChr m:val="|"/>
                <m:grow/>
              </m:dPr>
              <m:e>
                <m:sSub>
                  <m:e>
                    <m:r>
                      <m:t>κ</m:t>
                    </m:r>
                  </m:e>
                  <m:sub>
                    <m:r>
                      <m:t>δ</m:t>
                    </m:r>
                  </m:sub>
                </m:sSub>
              </m:e>
            </m:d>
          </m:e>
          <m:sup>
            <m:r>
              <m:t>2</m:t>
            </m:r>
          </m:sup>
        </m:sSup>
      </m:oMath>
      <w:r>
        <w:t xml:space="preserve"> </w:t>
      </w:r>
      <w:r>
        <w:t xml:space="preserve">: diplane (odd-bounce interaction) [Intensity]</w:t>
      </w:r>
    </w:p>
    <w:p>
      <w:pPr>
        <w:pStyle w:val="Compact"/>
        <w:numPr>
          <w:ilvl w:val="1"/>
          <w:numId w:val="1116"/>
        </w:numPr>
      </w:pPr>
      <m:oMath>
        <m:sSup>
          <m:e>
            <m:d>
              <m:dPr>
                <m:begChr m:val="|"/>
                <m:sepChr m:val=""/>
                <m:endChr m:val="|"/>
                <m:grow/>
              </m:dPr>
              <m:e>
                <m:sSub>
                  <m:e>
                    <m:r>
                      <m:t>κ</m:t>
                    </m:r>
                  </m:e>
                  <m:sub>
                    <m:r>
                      <m:t>η</m:t>
                    </m:r>
                  </m:sub>
                </m:sSub>
              </m:e>
            </m:d>
          </m:e>
          <m:sup>
            <m:r>
              <m:t>2</m:t>
            </m:r>
          </m:sup>
        </m:sSup>
      </m:oMath>
      <w:r>
        <w:t xml:space="preserve"> </w:t>
      </w:r>
      <w:r>
        <w:t xml:space="preserve">: helix [Intensity]</w:t>
      </w:r>
    </w:p>
    <w:p>
      <w:pPr>
        <w:pStyle w:val="Compact"/>
        <w:numPr>
          <w:ilvl w:val="1"/>
          <w:numId w:val="1116"/>
        </w:numPr>
      </w:pPr>
      <m:oMath>
        <m:r>
          <m:t>θ</m:t>
        </m:r>
      </m:oMath>
      <w:r>
        <w:t xml:space="preserve">: orientation angle [degrees]</w:t>
      </w:r>
    </w:p>
    <w:p>
      <w:pPr>
        <w:pStyle w:val="Compact"/>
        <w:numPr>
          <w:ilvl w:val="1"/>
          <w:numId w:val="1116"/>
        </w:numPr>
      </w:pPr>
      <m:oMath>
        <m:sSub>
          <m:e>
            <m:r>
              <m:t>Φ</m:t>
            </m:r>
          </m:e>
          <m:sub>
            <m:r>
              <m:t>s</m:t>
            </m:r>
          </m:sub>
        </m:sSub>
      </m:oMath>
      <w:r>
        <w:t xml:space="preserve">: sphere to diplane angle [degrees]</w:t>
      </w:r>
    </w:p>
    <w:p>
      <w:pPr>
        <w:numPr>
          <w:ilvl w:val="0"/>
          <w:numId w:val="1114"/>
        </w:numPr>
      </w:pPr>
      <w:r>
        <w:t xml:space="preserve">Cameron (nine classes) – non-dimensional layers</w:t>
      </w:r>
      <w:r>
        <w:t xml:space="preserve"> </w:t>
      </w:r>
      <w:r>
        <w:t xml:space="preserve">(</w:t>
      </w:r>
      <w:hyperlink w:anchor="ref-cameron1996">
        <w:r>
          <w:rPr>
            <w:rStyle w:val="Hyperlink"/>
          </w:rPr>
          <w:t xml:space="preserve">Cameron, Youssef, and Leung 1996</w:t>
        </w:r>
      </w:hyperlink>
      <w:r>
        <w:t xml:space="preserve">)</w:t>
      </w:r>
    </w:p>
    <w:bookmarkStart w:id="307" w:name="tbl:sar-pol-prd-tbl1"/>
    <w:p>
      <w:pPr>
        <w:pStyle w:val="Compact"/>
      </w:pPr>
      <w:r>
        <w:t xml:space="preserve">Table 2: Classification of Non-Dimensional Layers</w:t>
      </w:r>
    </w:p>
    <w:tbl>
      <w:tblPr>
        <w:tblStyle w:val="Table"/>
        <w:tblW w:type="auto" w:w="0"/>
        <w:jc w:val="left"/>
        <w:tblInd w:w="720" w:type="dxa"/>
        <w:tblLook w:firstRow="1" w:lastRow="0" w:firstColumn="0" w:lastColumn="0" w:noHBand="0" w:noVBand="0" w:val="0020"/>
        <w:tblCaption w:val="Table 2: Classification of Non-Dimensional Layers"/>
      </w:tblPr>
      <w:tblGrid>
        <w:gridCol w:w="3960"/>
        <w:gridCol w:w="3960"/>
      </w:tblGrid>
      <w:tr>
        <w:trPr>
          <w:tblHeader w:val="on"/>
        </w:trPr>
        <w:tc>
          <w:tcPr/>
          <w:p>
            <w:pPr>
              <w:pStyle w:val="Compact"/>
              <w:jc w:val="left"/>
            </w:pPr>
            <w:r>
              <w:t xml:space="preserve">Classes</w:t>
            </w:r>
          </w:p>
        </w:tc>
        <w:tc>
          <w:tcPr/>
          <w:p>
            <w:pPr>
              <w:pStyle w:val="Compact"/>
              <w:jc w:val="center"/>
            </w:pPr>
            <w:r>
              <w:t xml:space="preserve">ID</w:t>
            </w:r>
          </w:p>
        </w:tc>
      </w:tr>
      <w:tr>
        <w:tc>
          <w:tcPr/>
          <w:p>
            <w:pPr>
              <w:pStyle w:val="Compact"/>
              <w:jc w:val="left"/>
            </w:pPr>
            <w:r>
              <w:t xml:space="preserve">Trihedral</w:t>
            </w:r>
          </w:p>
        </w:tc>
        <w:tc>
          <w:tcPr/>
          <w:p>
            <w:pPr>
              <w:pStyle w:val="Compact"/>
              <w:jc w:val="center"/>
            </w:pPr>
            <w:r>
              <w:t xml:space="preserve">1</w:t>
            </w:r>
          </w:p>
        </w:tc>
      </w:tr>
      <w:tr>
        <w:tc>
          <w:tcPr/>
          <w:p>
            <w:pPr>
              <w:pStyle w:val="Compact"/>
              <w:jc w:val="left"/>
            </w:pPr>
            <w:r>
              <w:t xml:space="preserve">Dihedral</w:t>
            </w:r>
          </w:p>
        </w:tc>
        <w:tc>
          <w:tcPr/>
          <w:p>
            <w:pPr>
              <w:pStyle w:val="Compact"/>
              <w:jc w:val="center"/>
            </w:pPr>
            <w:r>
              <w:t xml:space="preserve">2</w:t>
            </w:r>
          </w:p>
        </w:tc>
      </w:tr>
      <w:tr>
        <w:tc>
          <w:tcPr/>
          <w:p>
            <w:pPr>
              <w:pStyle w:val="Compact"/>
              <w:jc w:val="left"/>
            </w:pPr>
            <w:r>
              <w:t xml:space="preserve">Narrow Dihedral</w:t>
            </w:r>
          </w:p>
        </w:tc>
        <w:tc>
          <w:tcPr/>
          <w:p>
            <w:pPr>
              <w:pStyle w:val="Compact"/>
              <w:jc w:val="center"/>
            </w:pPr>
            <w:r>
              <w:t xml:space="preserve">3</w:t>
            </w:r>
          </w:p>
        </w:tc>
      </w:tr>
      <w:tr>
        <w:tc>
          <w:tcPr/>
          <w:p>
            <w:pPr>
              <w:pStyle w:val="Compact"/>
              <w:jc w:val="left"/>
            </w:pPr>
            <w:r>
              <w:t xml:space="preserve">Dipole</w:t>
            </w:r>
          </w:p>
        </w:tc>
        <w:tc>
          <w:tcPr/>
          <w:p>
            <w:pPr>
              <w:pStyle w:val="Compact"/>
              <w:jc w:val="center"/>
            </w:pPr>
            <w:r>
              <w:t xml:space="preserve">4</w:t>
            </w:r>
          </w:p>
        </w:tc>
      </w:tr>
      <w:tr>
        <w:tc>
          <w:tcPr/>
          <w:p>
            <w:pPr>
              <w:pStyle w:val="Compact"/>
              <w:jc w:val="left"/>
            </w:pPr>
            <w:r>
              <w:t xml:space="preserve">Cylinder</w:t>
            </w:r>
          </w:p>
        </w:tc>
        <w:tc>
          <w:tcPr/>
          <w:p>
            <w:pPr>
              <w:pStyle w:val="Compact"/>
              <w:jc w:val="center"/>
            </w:pPr>
            <w:r>
              <w:t xml:space="preserve">5</w:t>
            </w:r>
          </w:p>
        </w:tc>
      </w:tr>
      <w:tr>
        <w:tc>
          <w:tcPr/>
          <w:p>
            <w:pPr>
              <w:pStyle w:val="Compact"/>
              <w:jc w:val="left"/>
            </w:pPr>
            <w:r>
              <w:t xml:space="preserve">¼ wave</w:t>
            </w:r>
          </w:p>
        </w:tc>
        <w:tc>
          <w:tcPr/>
          <w:p>
            <w:pPr>
              <w:pStyle w:val="Compact"/>
              <w:jc w:val="center"/>
            </w:pPr>
            <w:r>
              <w:t xml:space="preserve">6</w:t>
            </w:r>
          </w:p>
        </w:tc>
      </w:tr>
      <w:tr>
        <w:tc>
          <w:tcPr/>
          <w:p>
            <w:pPr>
              <w:pStyle w:val="Compact"/>
              <w:jc w:val="left"/>
            </w:pPr>
            <w:r>
              <w:t xml:space="preserve">Right Helix</w:t>
            </w:r>
          </w:p>
        </w:tc>
        <w:tc>
          <w:tcPr/>
          <w:p>
            <w:pPr>
              <w:pStyle w:val="Compact"/>
              <w:jc w:val="center"/>
            </w:pPr>
            <w:r>
              <w:t xml:space="preserve">7</w:t>
            </w:r>
          </w:p>
        </w:tc>
      </w:tr>
      <w:tr>
        <w:tc>
          <w:tcPr/>
          <w:p>
            <w:pPr>
              <w:pStyle w:val="Compact"/>
              <w:jc w:val="left"/>
            </w:pPr>
            <w:r>
              <w:t xml:space="preserve">Left Helix</w:t>
            </w:r>
          </w:p>
        </w:tc>
        <w:tc>
          <w:tcPr/>
          <w:p>
            <w:pPr>
              <w:pStyle w:val="Compact"/>
              <w:jc w:val="center"/>
            </w:pPr>
            <w:r>
              <w:t xml:space="preserve">8</w:t>
            </w:r>
          </w:p>
        </w:tc>
      </w:tr>
      <w:tr>
        <w:tc>
          <w:tcPr/>
          <w:p>
            <w:pPr>
              <w:pStyle w:val="Compact"/>
              <w:jc w:val="left"/>
            </w:pPr>
            <w:r>
              <w:t xml:space="preserve">Asymmetrical</w:t>
            </w:r>
          </w:p>
        </w:tc>
        <w:tc>
          <w:tcPr/>
          <w:p>
            <w:pPr>
              <w:pStyle w:val="Compact"/>
              <w:jc w:val="center"/>
            </w:pPr>
            <w:r>
              <w:t xml:space="preserve">9</w:t>
            </w:r>
          </w:p>
        </w:tc>
      </w:tr>
    </w:tbl>
    <w:bookmarkEnd w:id="307"/>
    <w:bookmarkEnd w:id="308"/>
    <w:bookmarkStart w:id="310" w:name="incoherent-decompositions"/>
    <w:p>
      <w:pPr>
        <w:pStyle w:val="berschrift4"/>
      </w:pPr>
      <w:r>
        <w:t xml:space="preserve">Incoherent decompositions</w:t>
      </w:r>
    </w:p>
    <w:p>
      <w:pPr>
        <w:pStyle w:val="FirstParagraph"/>
      </w:pPr>
      <w:r>
        <w:t xml:space="preserve">Incoherent decompositions describe distributed targets in terms of scattering mechanisms and their diversity. They are generated from averaged Covariance, Coherence or Kennaugh matrices. As for examples, incoherent PRD could be (but not limited to):</w:t>
      </w:r>
    </w:p>
    <w:p>
      <w:pPr>
        <w:numPr>
          <w:ilvl w:val="0"/>
          <w:numId w:val="1117"/>
        </w:numPr>
      </w:pPr>
      <w:r>
        <w:t xml:space="preserve">Based and saved on intensity of scattering mechanisms can be</w:t>
      </w:r>
      <w:r>
        <w:t xml:space="preserve"> </w:t>
      </w:r>
      <w:r>
        <w:t xml:space="preserve">(</w:t>
      </w:r>
      <w:hyperlink w:anchor="ref-freeman1998">
        <w:r>
          <w:rPr>
            <w:rStyle w:val="Hyperlink"/>
          </w:rPr>
          <w:t xml:space="preserve">Freeman and Durden 1998</w:t>
        </w:r>
      </w:hyperlink>
      <w:r>
        <w:t xml:space="preserve">;</w:t>
      </w:r>
      <w:r>
        <w:t xml:space="preserve"> </w:t>
      </w:r>
      <w:hyperlink w:anchor="ref-yamaguchi2011">
        <w:r>
          <w:rPr>
            <w:rStyle w:val="Hyperlink"/>
          </w:rPr>
          <w:t xml:space="preserve">Yamaguchi et al. 2011</w:t>
        </w:r>
      </w:hyperlink>
      <w:r>
        <w:t xml:space="preserve">;</w:t>
      </w:r>
      <w:r>
        <w:t xml:space="preserve"> </w:t>
      </w:r>
      <w:hyperlink w:anchor="ref-raney2012">
        <w:r>
          <w:rPr>
            <w:rStyle w:val="Hyperlink"/>
          </w:rPr>
          <w:t xml:space="preserve">Raney et al. 2012</w:t>
        </w:r>
      </w:hyperlink>
      <w:r>
        <w:t xml:space="preserve">)</w:t>
      </w:r>
    </w:p>
    <w:bookmarkStart w:id="309" w:name="tbl:sar-pol-prd-tbl2"/>
    <w:p>
      <w:pPr>
        <w:pStyle w:val="Compact"/>
      </w:pPr>
      <w:r>
        <w:t xml:space="preserve">Table 3: Incoherent Decompositions: Freeman-Durden, Yamaguchi, m-chi</w:t>
      </w:r>
    </w:p>
    <w:tbl>
      <w:tblPr>
        <w:tblStyle w:val="Table"/>
        <w:tblW w:type="auto" w:w="0"/>
        <w:jc w:val="left"/>
        <w:tblInd w:w="720" w:type="dxa"/>
        <w:tblLook w:firstRow="1" w:lastRow="0" w:firstColumn="0" w:lastColumn="0" w:noHBand="0" w:noVBand="0" w:val="0020"/>
        <w:tblCaption w:val="Table 3: Incoherent Decompositions: Freeman-Durden, Yamaguchi, m-chi"/>
      </w:tblPr>
      <w:tblGrid>
        <w:gridCol w:w="1980"/>
        <w:gridCol w:w="1980"/>
        <w:gridCol w:w="1980"/>
        <w:gridCol w:w="1980"/>
      </w:tblGrid>
      <w:tr>
        <w:trPr>
          <w:tblHeader w:val="on"/>
        </w:trPr>
        <w:tc>
          <w:tcPr/>
          <w:p>
            <w:pPr>
              <w:pStyle w:val="Compact"/>
              <w:jc w:val="left"/>
            </w:pPr>
            <w:r>
              <w:t xml:space="preserve">Level 2b - Layers [Intensity]</w:t>
            </w:r>
          </w:p>
        </w:tc>
        <w:tc>
          <w:tcPr/>
          <w:p>
            <w:pPr>
              <w:pStyle w:val="Compact"/>
              <w:jc w:val="center"/>
            </w:pPr>
            <w:r>
              <w:t xml:space="preserve">Freeman-Durden</w:t>
            </w:r>
          </w:p>
        </w:tc>
        <w:tc>
          <w:tcPr/>
          <w:p>
            <w:pPr>
              <w:pStyle w:val="Compact"/>
              <w:jc w:val="center"/>
            </w:pPr>
            <w:r>
              <w:t xml:space="preserve">Yamaguchi</w:t>
            </w:r>
          </w:p>
        </w:tc>
        <w:tc>
          <w:tcPr/>
          <w:p>
            <w:pPr>
              <w:pStyle w:val="Compact"/>
              <w:jc w:val="center"/>
            </w:pPr>
            <w:r>
              <w:t xml:space="preserve">m-chi</w:t>
            </w:r>
          </w:p>
        </w:tc>
      </w:tr>
      <w:tr>
        <w:tc>
          <w:tcPr/>
          <w:p>
            <w:pPr>
              <w:pStyle w:val="Compact"/>
              <w:jc w:val="left"/>
            </w:pPr>
            <w:r>
              <w:t xml:space="preserve">Odd-bounce (surface/trihedral)</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Even-bounce (dihedral)</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Random (volumetric)</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Helix</w:t>
            </w:r>
          </w:p>
        </w:tc>
        <w:tc>
          <w:tcPr/>
          <w:p>
            <w:pPr>
              <w:pStyle w:val="Compact"/>
            </w:pPr>
          </w:p>
        </w:tc>
        <w:tc>
          <w:tcPr/>
          <w:p>
            <w:pPr>
              <w:pStyle w:val="Compact"/>
              <w:jc w:val="center"/>
            </w:pPr>
            <w:r>
              <w:t xml:space="preserve">X</w:t>
            </w:r>
          </w:p>
        </w:tc>
        <w:tc>
          <w:tcPr/>
          <w:p>
            <w:pPr>
              <w:pStyle w:val="Compact"/>
            </w:pPr>
          </w:p>
        </w:tc>
      </w:tr>
    </w:tbl>
    <w:bookmarkEnd w:id="309"/>
    <w:p>
      <w:pPr>
        <w:numPr>
          <w:ilvl w:val="0"/>
          <w:numId w:val="1117"/>
        </w:numPr>
      </w:pPr>
      <w:r>
        <w:t xml:space="preserve">Based on eigenvector-eigenvalue decomposition expressing the diversity of scattering mechanisms</w:t>
      </w:r>
      <w:r>
        <w:t xml:space="preserve"> </w:t>
      </w:r>
      <w:r>
        <w:t xml:space="preserve">(</w:t>
      </w:r>
      <w:hyperlink w:anchor="ref-cloude1996">
        <w:r>
          <w:rPr>
            <w:rStyle w:val="Hyperlink"/>
          </w:rPr>
          <w:t xml:space="preserve">Cloude and Pottier 1996</w:t>
        </w:r>
      </w:hyperlink>
      <w:r>
        <w:t xml:space="preserve">)</w:t>
      </w:r>
      <w:r>
        <w:t xml:space="preserve"> </w:t>
      </w:r>
      <w:r>
        <w:t xml:space="preserve">and types:</w:t>
      </w:r>
    </w:p>
    <w:p>
      <w:pPr>
        <w:pStyle w:val="Compact"/>
        <w:numPr>
          <w:ilvl w:val="1"/>
          <w:numId w:val="1118"/>
        </w:numPr>
      </w:pPr>
      <m:oMath>
        <m:r>
          <m:t>H</m:t>
        </m:r>
      </m:oMath>
      <w:r>
        <w:t xml:space="preserve"> </w:t>
      </w:r>
      <w:r>
        <w:t xml:space="preserve">: Entropy [ ] is the polarization diversity</w:t>
      </w:r>
    </w:p>
    <w:p>
      <w:pPr>
        <w:pStyle w:val="Compact"/>
        <w:numPr>
          <w:ilvl w:val="1"/>
          <w:numId w:val="1118"/>
        </w:numPr>
      </w:pPr>
      <m:oMath>
        <m:r>
          <m:t>A</m:t>
        </m:r>
      </m:oMath>
      <w:r>
        <w:t xml:space="preserve"> </w:t>
      </w:r>
      <w:r>
        <w:t xml:space="preserve">: Anisotropy [ ] is weighted difference between the 2ⁿᵈ and 3ʳᵈ eigenvalues</w:t>
      </w:r>
    </w:p>
    <w:p>
      <w:pPr>
        <w:pStyle w:val="Compact"/>
        <w:numPr>
          <w:ilvl w:val="1"/>
          <w:numId w:val="1118"/>
        </w:numPr>
      </w:pPr>
      <m:oMath>
        <m:r>
          <m:t>α</m:t>
        </m:r>
      </m:oMath>
      <w:r>
        <w:t xml:space="preserve"> </w:t>
      </w:r>
      <w:r>
        <w:t xml:space="preserve">: Odd-even bounce angle [Degrees]</w:t>
      </w:r>
    </w:p>
    <w:p>
      <w:pPr>
        <w:pStyle w:val="Compact"/>
        <w:numPr>
          <w:ilvl w:val="1"/>
          <w:numId w:val="1118"/>
        </w:numPr>
      </w:pPr>
      <m:oMath>
        <m:r>
          <m:t>β</m:t>
        </m:r>
      </m:oMath>
      <w:r>
        <w:t xml:space="preserve"> </w:t>
      </w:r>
      <w:r>
        <w:t xml:space="preserve">: orientation angle [Degrees]</w:t>
      </w:r>
    </w:p>
    <w:bookmarkEnd w:id="310"/>
    <w:bookmarkEnd w:id="311"/>
    <w:bookmarkStart w:id="320" w:name="sec:annex-sar-pol-examples"/>
    <w:p>
      <w:pPr>
        <w:pStyle w:val="berschrift3"/>
      </w:pPr>
      <w:r>
        <w:t xml:space="preserve">Polarimetric Radar Decomposition Product Examples</w:t>
      </w:r>
    </w:p>
    <w:p>
      <w:pPr>
        <w:pStyle w:val="FirstParagraph"/>
      </w:pPr>
      <w:r>
        <w:t xml:space="preserve">From fully polarimetric covariance matrix ARD format POL (Level-2a), it is possible to apply any version of the popular Yamaguchi methodology, which decomposes the polarimetric information under relative intensities of 4 scattering types: Odd bounce, Even bounce, Random (volume) and helix. Figure </w:t>
      </w:r>
      <w:hyperlink w:anchor="fig:sar-pol-examples-fig1">
        <w:r>
          <w:rPr>
            <w:rStyle w:val="Hyperlink"/>
          </w:rPr>
          <w:t xml:space="preserve">1</w:t>
        </w:r>
      </w:hyperlink>
      <w:r>
        <w:t xml:space="preserve">b shows HH intensity of a RADARSAT fully polarimetric acquired over a Spanish area. Decomposition using Yamaguchi methodology</w:t>
      </w:r>
      <w:r>
        <w:t xml:space="preserve"> </w:t>
      </w:r>
      <w:r>
        <w:t xml:space="preserve">(</w:t>
      </w:r>
      <w:hyperlink w:anchor="ref-yamaguchi2011">
        <w:r>
          <w:rPr>
            <w:rStyle w:val="Hyperlink"/>
          </w:rPr>
          <w:t xml:space="preserve">Yamaguchi et al. 2011</w:t>
        </w:r>
      </w:hyperlink>
      <w:r>
        <w:t xml:space="preserve">)</w:t>
      </w:r>
      <w:r>
        <w:t xml:space="preserve"> </w:t>
      </w:r>
      <w:r>
        <w:t xml:space="preserve">can be expressed in RGB colour composite (Figure </w:t>
      </w:r>
      <w:hyperlink w:anchor="fig:sar-pol-examples-fig1">
        <w:r>
          <w:rPr>
            <w:rStyle w:val="Hyperlink"/>
          </w:rPr>
          <w:t xml:space="preserve">1</w:t>
        </w:r>
      </w:hyperlink>
      <w:r>
        <w:t xml:space="preserve">c) where Red channel refers to even bounce scattering like urban area; Green channel is random scattering like vegetation; and Blue channel is odd bounce scattering like bare soil. Figure </w:t>
      </w:r>
      <w:hyperlink w:anchor="fig:sar-pol-examples-fig1">
        <w:r>
          <w:rPr>
            <w:rStyle w:val="Hyperlink"/>
          </w:rPr>
          <w:t xml:space="preserve">1</w:t>
        </w:r>
      </w:hyperlink>
      <w:r>
        <w:t xml:space="preserve">d is equivalent to c) where radiometric normalisation (terrain flattening) has been applied with the help of the DEM of the scene (Figure </w:t>
      </w:r>
      <w:hyperlink w:anchor="fig:sar-pol-examples-fig1">
        <w:r>
          <w:rPr>
            <w:rStyle w:val="Hyperlink"/>
          </w:rPr>
          <w:t xml:space="preserve">1</w:t>
        </w:r>
      </w:hyperlink>
      <w:r>
        <w:t xml:space="preserve">a).</w:t>
      </w:r>
    </w:p>
    <w:bookmarkStart w:id="315" w:name="fig:sar-pol-examples-fig1"/>
    <w:p>
      <w:pPr>
        <w:pStyle w:val="CaptionedFigure"/>
      </w:pPr>
      <w:r>
        <w:drawing>
          <wp:inline>
            <wp:extent cx="5724525" cy="5629275"/>
            <wp:effectExtent b="0" l="0" r="0" t="0"/>
            <wp:docPr descr="Figure 1: Example of polarimetric decomposition generated from ARD covariance format. a) Shaded DEM of the area; b) RADARSAT-2 HH intensity; c) Yamaguchi decomposition colour composite (Red: even bounce, Green: random, Blue: odd bounce); d) Same as c) with terrain flattening option. Generated from Radarsat-2 FQ18W acquired over Murcia, Spain on 18 June 2014 - ©MDA 2014" title="" id="313" name="Picture"/>
            <a:graphic>
              <a:graphicData uri="http://schemas.openxmlformats.org/drawingml/2006/picture">
                <pic:pic>
                  <pic:nvPicPr>
                    <pic:cNvPr descr="assets/sar-pol-examples/pol-decomposition.jpeg" id="314" name="Picture"/>
                    <pic:cNvPicPr>
                      <a:picLocks noChangeArrowheads="1" noChangeAspect="1"/>
                    </pic:cNvPicPr>
                  </pic:nvPicPr>
                  <pic:blipFill>
                    <a:blip r:embed="rId312"/>
                    <a:stretch>
                      <a:fillRect/>
                    </a:stretch>
                  </pic:blipFill>
                  <pic:spPr bwMode="auto">
                    <a:xfrm>
                      <a:off x="0" y="0"/>
                      <a:ext cx="5724525" cy="5629275"/>
                    </a:xfrm>
                    <a:prstGeom prst="rect">
                      <a:avLst/>
                    </a:prstGeom>
                    <a:noFill/>
                    <a:ln w="9525">
                      <a:noFill/>
                      <a:headEnd/>
                      <a:tailEnd/>
                    </a:ln>
                  </pic:spPr>
                </pic:pic>
              </a:graphicData>
            </a:graphic>
          </wp:inline>
        </w:drawing>
      </w:r>
    </w:p>
    <w:p>
      <w:pPr>
        <w:pStyle w:val="ImageCaption"/>
      </w:pPr>
      <w:r>
        <w:t xml:space="preserve">Figure 1: Example of polarimetric decomposition generated from ARD covariance format. a) Shaded DEM of the area; b) RADARSAT-2 HH intensity; c) Yamaguchi decomposition colour composite (Red: even bounce, Green: random, Blue: odd bounce); d) Same as c) with terrain flattening option. Generated from Radarsat-2 FQ18W acquired over Murcia, Spain on 18 June 2014 - ©MDA 2014</w:t>
      </w:r>
    </w:p>
    <w:bookmarkEnd w:id="315"/>
    <w:p>
      <w:pPr>
        <w:pStyle w:val="Textkrper"/>
      </w:pPr>
      <w:r>
        <w:t xml:space="preserve">Figure </w:t>
      </w:r>
      <w:hyperlink w:anchor="fig:sar-pol-examples-fig2">
        <w:r>
          <w:rPr>
            <w:rStyle w:val="Hyperlink"/>
          </w:rPr>
          <w:t xml:space="preserve">2</w:t>
        </w:r>
      </w:hyperlink>
      <w:r>
        <w:t xml:space="preserve"> </w:t>
      </w:r>
      <w:r>
        <w:t xml:space="preserve">is a PRD compact polarimetric m-chi decomposition</w:t>
      </w:r>
      <w:r>
        <w:t xml:space="preserve"> </w:t>
      </w:r>
      <w:r>
        <w:t xml:space="preserve">(</w:t>
      </w:r>
      <w:hyperlink w:anchor="ref-raney2012">
        <w:r>
          <w:rPr>
            <w:rStyle w:val="Hyperlink"/>
          </w:rPr>
          <w:t xml:space="preserve">Raney et al. 2012</w:t>
        </w:r>
      </w:hyperlink>
      <w:r>
        <w:t xml:space="preserve">)</w:t>
      </w:r>
      <w:r>
        <w:t xml:space="preserve"> </w:t>
      </w:r>
      <w:r>
        <w:t xml:space="preserve">simulated from two Canadian prairies Radarsat-2 fully polarimetric scenes acquired in May and June 2012. In May, before the growing season Figure </w:t>
      </w:r>
      <w:hyperlink w:anchor="fig:sar-pol-examples-fig2">
        <w:r>
          <w:rPr>
            <w:rStyle w:val="Hyperlink"/>
          </w:rPr>
          <w:t xml:space="preserve">2</w:t>
        </w:r>
      </w:hyperlink>
      <w:r>
        <w:t xml:space="preserve">a, m-chi shows mainly surface scattering from bare soil (blue channel) and vegetation interaction from forested areas (green channel), while in June Figure </w:t>
      </w:r>
      <w:hyperlink w:anchor="fig:sar-pol-examples-fig2">
        <w:r>
          <w:rPr>
            <w:rStyle w:val="Hyperlink"/>
          </w:rPr>
          <w:t xml:space="preserve">2</w:t>
        </w:r>
      </w:hyperlink>
      <w:r>
        <w:t xml:space="preserve">b growth of vegetation modifies the radar signal with interacting media function of the vegetation density and geometry which increase the amount of even bounce (red channel) and random scattering.</w:t>
      </w:r>
    </w:p>
    <w:bookmarkStart w:id="319" w:name="fig:sar-pol-examples-fig2"/>
    <w:p>
      <w:pPr>
        <w:pStyle w:val="CaptionedFigure"/>
      </w:pPr>
      <w:r>
        <w:drawing>
          <wp:inline>
            <wp:extent cx="5727700" cy="2887518"/>
            <wp:effectExtent b="0" l="0" r="0" t="0"/>
            <wp:docPr descr="Figure 2: m-chi decomposition colour composite of simulated compact polarimetry from Radarsat-2 over an agriculture area. RGB representation: Red: even bounce, Green: random, Blue: odd bounce. a) 3 May 2012; and b) 18 June 2012. Generated from Radarsat-2 FQ6W acquired over SMAPVEX12 campaign Manitoba, Canada on 3 May and 20 June 2012 - ©MDA 2012" title="" id="317" name="Picture"/>
            <a:graphic>
              <a:graphicData uri="http://schemas.openxmlformats.org/drawingml/2006/picture">
                <pic:pic>
                  <pic:nvPicPr>
                    <pic:cNvPr descr="assets/sar-pol-examples/m-chi-decomposition.jpeg" id="318" name="Picture"/>
                    <pic:cNvPicPr>
                      <a:picLocks noChangeArrowheads="1" noChangeAspect="1"/>
                    </pic:cNvPicPr>
                  </pic:nvPicPr>
                  <pic:blipFill>
                    <a:blip r:embed="rId316"/>
                    <a:stretch>
                      <a:fillRect/>
                    </a:stretch>
                  </pic:blipFill>
                  <pic:spPr bwMode="auto">
                    <a:xfrm>
                      <a:off x="0" y="0"/>
                      <a:ext cx="5727700" cy="2887518"/>
                    </a:xfrm>
                    <a:prstGeom prst="rect">
                      <a:avLst/>
                    </a:prstGeom>
                    <a:noFill/>
                    <a:ln w="9525">
                      <a:noFill/>
                      <a:headEnd/>
                      <a:tailEnd/>
                    </a:ln>
                  </pic:spPr>
                </pic:pic>
              </a:graphicData>
            </a:graphic>
          </wp:inline>
        </w:drawing>
      </w:r>
    </w:p>
    <w:p>
      <w:pPr>
        <w:pStyle w:val="ImageCaption"/>
      </w:pPr>
      <w:r>
        <w:t xml:space="preserve">Figure 2: m-chi decomposition colour composite of simulated compact polarimetry from Radarsat-2 over an agriculture area. RGB representation: Red: even bounce, Green: random, Blue: odd bounce. a) 3 May 2012; and b) 18 June 2012. Generated from Radarsat-2 FQ6W acquired over SMAPVEX12 campaign Manitoba, Canada on 3 May and 20 June 2012 - ©MDA 2012</w:t>
      </w:r>
    </w:p>
    <w:bookmarkEnd w:id="319"/>
    <w:bookmarkEnd w:id="320"/>
    <w:bookmarkEnd w:id="321"/>
    <w:bookmarkEnd w:id="322"/>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316" Target="media/rId316.jpg" /><Relationship Type="http://schemas.openxmlformats.org/officeDocument/2006/relationships/image" Id="rId312" Target="media/rId312.jp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4" Target="https://ceos.org/mim-database/" TargetMode="External" /><Relationship Type="http://schemas.openxmlformats.org/officeDocument/2006/relationships/hyperlink" Id="rId270" Target="https://doi.org/10.1029/2011JE003986" TargetMode="External" /><Relationship Type="http://schemas.openxmlformats.org/officeDocument/2006/relationships/hyperlink" Id="rId264" Target="https://doi.org/10.1080/2150704X.2012.687470" TargetMode="External" /><Relationship Type="http://schemas.openxmlformats.org/officeDocument/2006/relationships/hyperlink" Id="rId260" Target="https://doi.org/10.1109/36.485127" TargetMode="External" /><Relationship Type="http://schemas.openxmlformats.org/officeDocument/2006/relationships/hyperlink" Id="rId258" Target="https://doi.org/10.1109/36.499784" TargetMode="External" /><Relationship Type="http://schemas.openxmlformats.org/officeDocument/2006/relationships/hyperlink" Id="rId262" Target="https://doi.org/10.1109/36.673687" TargetMode="External" /><Relationship Type="http://schemas.openxmlformats.org/officeDocument/2006/relationships/hyperlink" Id="rId280" Target="https://doi.org/10.1109/LGRS.2017.2753580" TargetMode="External" /><Relationship Type="http://schemas.openxmlformats.org/officeDocument/2006/relationships/hyperlink" Id="rId268" Target="https://doi.org/10.1109/TGRS.2008.2002881" TargetMode="External" /><Relationship Type="http://schemas.openxmlformats.org/officeDocument/2006/relationships/hyperlink" Id="rId282" Target="https://doi.org/10.1109/TGRS.2010.2051333" TargetMode="External" /><Relationship Type="http://schemas.openxmlformats.org/officeDocument/2006/relationships/hyperlink" Id="rId278" Target="https://doi.org/10.1109/TGRS.2010.2099124" TargetMode="External" /><Relationship Type="http://schemas.openxmlformats.org/officeDocument/2006/relationships/hyperlink" Id="rId274" Target="https://doi.org/10.1109/TGRS.2011.2120616" TargetMode="External" /><Relationship Type="http://schemas.openxmlformats.org/officeDocument/2006/relationships/hyperlink" Id="rId276" Target="https://doi.org/10.1109/TGRS.2012.2233206" TargetMode="External" /><Relationship Type="http://schemas.openxmlformats.org/officeDocument/2006/relationships/hyperlink" Id="rId272"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4" Target="https://ceos.org/mim-database/" TargetMode="External" /><Relationship Type="http://schemas.openxmlformats.org/officeDocument/2006/relationships/hyperlink" Id="rId270" Target="https://doi.org/10.1029/2011JE003986" TargetMode="External" /><Relationship Type="http://schemas.openxmlformats.org/officeDocument/2006/relationships/hyperlink" Id="rId264" Target="https://doi.org/10.1080/2150704X.2012.687470" TargetMode="External" /><Relationship Type="http://schemas.openxmlformats.org/officeDocument/2006/relationships/hyperlink" Id="rId260" Target="https://doi.org/10.1109/36.485127" TargetMode="External" /><Relationship Type="http://schemas.openxmlformats.org/officeDocument/2006/relationships/hyperlink" Id="rId258" Target="https://doi.org/10.1109/36.499784" TargetMode="External" /><Relationship Type="http://schemas.openxmlformats.org/officeDocument/2006/relationships/hyperlink" Id="rId262" Target="https://doi.org/10.1109/36.673687" TargetMode="External" /><Relationship Type="http://schemas.openxmlformats.org/officeDocument/2006/relationships/hyperlink" Id="rId280" Target="https://doi.org/10.1109/LGRS.2017.2753580" TargetMode="External" /><Relationship Type="http://schemas.openxmlformats.org/officeDocument/2006/relationships/hyperlink" Id="rId268" Target="https://doi.org/10.1109/TGRS.2008.2002881" TargetMode="External" /><Relationship Type="http://schemas.openxmlformats.org/officeDocument/2006/relationships/hyperlink" Id="rId282" Target="https://doi.org/10.1109/TGRS.2010.2051333" TargetMode="External" /><Relationship Type="http://schemas.openxmlformats.org/officeDocument/2006/relationships/hyperlink" Id="rId278" Target="https://doi.org/10.1109/TGRS.2010.2099124" TargetMode="External" /><Relationship Type="http://schemas.openxmlformats.org/officeDocument/2006/relationships/hyperlink" Id="rId274" Target="https://doi.org/10.1109/TGRS.2011.2120616" TargetMode="External" /><Relationship Type="http://schemas.openxmlformats.org/officeDocument/2006/relationships/hyperlink" Id="rId276" Target="https://doi.org/10.1109/TGRS.2012.2233206" TargetMode="External" /><Relationship Type="http://schemas.openxmlformats.org/officeDocument/2006/relationships/hyperlink" Id="rId272"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Polarimetric Radar - Version 1.2-draft</dc:title>
  <dc:creator/>
  <dc:language>en</dc:language>
  <cp:keywords/>
  <dcterms:created xsi:type="dcterms:W3CDTF">2025-04-16T03:33:03Z</dcterms:created>
  <dcterms:modified xsi:type="dcterms:W3CDTF">2025-04-16T03:33:03Z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build/SAR-POL.bib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