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08.jpg" ContentType="image/jpeg"/>
  <Override PartName="/word/media/rId30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4" w:name="X585353d8aec71e32101508c22c1e4e52b36bb22"/>
    <w:p>
      <w:pPr>
        <w:pStyle w:val="berschrift1"/>
      </w:pPr>
      <w:r>
        <w:t xml:space="preserve">CEOS-ARD - Synthetic Aperture Radar - Polarimetric Radar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Polarimetric Radar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3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1"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Equivalent Number of Looks (ENL)</w:t>
      </w:r>
    </w:p>
    <w:bookmarkEnd w:id="120"/>
    <w:bookmarkStart w:id="121"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1"/>
    <w:bookmarkEnd w:id="122"/>
    <w:bookmarkStart w:id="126"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3" w:name="threshold-requirements-22"/>
    <w:p>
      <w:pPr>
        <w:pStyle w:val="berschrift5"/>
      </w:pPr>
      <w:r>
        <w:t xml:space="preserve">Threshold requirements:</w:t>
      </w:r>
    </w:p>
    <w:p>
      <w:pPr>
        <w:pStyle w:val="FirstParagraph"/>
      </w:pPr>
      <w:r>
        <w:t xml:space="preserve">Not required.</w:t>
      </w:r>
      <w:r>
        <w:t xml:space="preserve"> </w:t>
      </w:r>
    </w:p>
    <w:bookmarkEnd w:id="123"/>
    <w:bookmarkStart w:id="124"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4"/>
    <w:bookmarkStart w:id="125"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5"/>
    <w:bookmarkEnd w:id="126"/>
    <w:bookmarkStart w:id="130" w:name="sec:prd.metadata-speckle-filtering-pol"/>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prd.metadata-speckle-filtering-pol</w:t>
      </w:r>
    </w:p>
    <w:bookmarkStart w:id="127"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p>
      <w:pPr>
        <w:pStyle w:val="FirstParagraph"/>
      </w:pPr>
      <w:r>
        <w:t xml:space="preserve">Advanced polarimetric filter preserving covariance matrix properties shall be applied.</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29"/>
    <w:bookmarkEnd w:id="130"/>
    <w:bookmarkStart w:id="134"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1"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3"/>
    <w:bookmarkEnd w:id="134"/>
    <w:bookmarkStart w:id="138"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5"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7"/>
    <w:bookmarkEnd w:id="138"/>
    <w:bookmarkStart w:id="142"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9"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1"/>
    <w:bookmarkEnd w:id="142"/>
    <w:bookmarkStart w:id="146"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3"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5"/>
    <w:bookmarkEnd w:id="146"/>
    <w:bookmarkStart w:id="150"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7"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bookmarkEnd w:id="149"/>
    <w:bookmarkEnd w:id="150"/>
    <w:bookmarkEnd w:id="151"/>
    <w:bookmarkStart w:id="188"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55"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2" w:name="threshold-requirements-29"/>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2"/>
    <w:bookmarkStart w:id="153" w:name="goal-requirements-29"/>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3"/>
    <w:bookmarkStart w:id="154" w:name="assessment-29"/>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p>
      <w:r>
        <w:pict>
          <v:rect style="width:0;height:1.5pt" o:hralign="center" o:hrstd="t" o:hr="t"/>
        </w:pict>
      </w:r>
    </w:p>
    <w:bookmarkEnd w:id="154"/>
    <w:bookmarkEnd w:id="155"/>
    <w:bookmarkStart w:id="159"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56" w:name="threshold-requirements-30"/>
    <w:p>
      <w:pPr>
        <w:pStyle w:val="berschrift5"/>
      </w:pPr>
      <w:r>
        <w:t xml:space="preserve">Threshold requirements:</w:t>
      </w:r>
    </w:p>
    <w:p>
      <w:pPr>
        <w:pStyle w:val="FirstParagraph"/>
      </w:pPr>
      <w:r>
        <w:t xml:space="preserve">Mask image indicating:</w:t>
      </w:r>
    </w:p>
    <w:p>
      <w:pPr>
        <w:pStyle w:val="Compact"/>
        <w:numPr>
          <w:ilvl w:val="0"/>
          <w:numId w:val="1047"/>
        </w:numPr>
      </w:pPr>
      <w:r>
        <w:t xml:space="preserve">Valid data</w:t>
      </w:r>
    </w:p>
    <w:p>
      <w:pPr>
        <w:pStyle w:val="Compact"/>
        <w:numPr>
          <w:ilvl w:val="0"/>
          <w:numId w:val="1047"/>
        </w:numPr>
      </w:pPr>
      <w:r>
        <w:t xml:space="preserve">Invalid data</w:t>
      </w:r>
    </w:p>
    <w:p>
      <w:pPr>
        <w:pStyle w:val="Compact"/>
        <w:numPr>
          <w:ilvl w:val="0"/>
          <w:numId w:val="1047"/>
        </w:numPr>
      </w:pPr>
      <w:r>
        <w:t xml:space="preserve">No data</w:t>
      </w:r>
    </w:p>
    <w:p>
      <w:pPr>
        <w:pStyle w:val="FirstParagraph"/>
      </w:pPr>
      <w:r>
        <w:t xml:space="preserve">File format specifications/contents provided in metadata:</w:t>
      </w:r>
    </w:p>
    <w:p>
      <w:pPr>
        <w:pStyle w:val="Compact"/>
        <w:numPr>
          <w:ilvl w:val="0"/>
          <w:numId w:val="1048"/>
        </w:numPr>
      </w:pPr>
      <w:r>
        <w:t xml:space="preserve">Sample Type (Mask)</w:t>
      </w:r>
    </w:p>
    <w:p>
      <w:pPr>
        <w:pStyle w:val="Compact"/>
        <w:numPr>
          <w:ilvl w:val="0"/>
          <w:numId w:val="1048"/>
        </w:numPr>
      </w:pPr>
      <w:r>
        <w:t xml:space="preserve">Data Format (GeoTIFF, HDF5, NetCDF, …)</w:t>
      </w:r>
    </w:p>
    <w:p>
      <w:pPr>
        <w:pStyle w:val="Compact"/>
        <w:numPr>
          <w:ilvl w:val="0"/>
          <w:numId w:val="1048"/>
        </w:numPr>
      </w:pPr>
      <w:r>
        <w:t xml:space="preserve">Data Type (Int, …)</w:t>
      </w:r>
    </w:p>
    <w:p>
      <w:pPr>
        <w:pStyle w:val="Compact"/>
        <w:numPr>
          <w:ilvl w:val="0"/>
          <w:numId w:val="1048"/>
        </w:numPr>
      </w:pPr>
      <w:r>
        <w:t xml:space="preserve">Bits per Sample</w:t>
      </w:r>
    </w:p>
    <w:p>
      <w:pPr>
        <w:pStyle w:val="Compact"/>
        <w:numPr>
          <w:ilvl w:val="0"/>
          <w:numId w:val="1048"/>
        </w:numPr>
      </w:pPr>
      <w:r>
        <w:t xml:space="preserve">Byte Order</w:t>
      </w:r>
    </w:p>
    <w:p>
      <w:pPr>
        <w:pStyle w:val="Compact"/>
        <w:numPr>
          <w:ilvl w:val="0"/>
          <w:numId w:val="1048"/>
        </w:numPr>
      </w:pPr>
      <w:r>
        <w:t xml:space="preserve">Bit Value Representation</w:t>
      </w:r>
    </w:p>
    <w:bookmarkEnd w:id="156"/>
    <w:bookmarkStart w:id="157" w:name="goal-requirements-30"/>
    <w:p>
      <w:pPr>
        <w:pStyle w:val="berschrift5"/>
      </w:pPr>
      <w:r>
        <w:t xml:space="preserve">Goal requirements:</w:t>
      </w:r>
    </w:p>
    <w:p>
      <w:pPr>
        <w:pStyle w:val="FirstParagraph"/>
      </w:pPr>
      <w:r>
        <w:t xml:space="preserve">As threshold, including additional bit value representations, e.g.:</w:t>
      </w:r>
    </w:p>
    <w:p>
      <w:pPr>
        <w:pStyle w:val="Compact"/>
        <w:numPr>
          <w:ilvl w:val="0"/>
          <w:numId w:val="1049"/>
        </w:numPr>
      </w:pPr>
      <w:r>
        <w:t xml:space="preserve">Layover (masked as invalid data in threshold)</w:t>
      </w:r>
    </w:p>
    <w:p>
      <w:pPr>
        <w:pStyle w:val="Compact"/>
        <w:numPr>
          <w:ilvl w:val="0"/>
          <w:numId w:val="1049"/>
        </w:numPr>
      </w:pPr>
      <w:r>
        <w:t xml:space="preserve">Radar shadow (masked as invalid data in threshold)</w:t>
      </w:r>
    </w:p>
    <w:p>
      <w:pPr>
        <w:pStyle w:val="Compact"/>
        <w:numPr>
          <w:ilvl w:val="0"/>
          <w:numId w:val="1049"/>
        </w:numPr>
      </w:pPr>
      <w:r>
        <w:t xml:space="preserve">Ocean water</w:t>
      </w:r>
    </w:p>
    <w:p>
      <w:pPr>
        <w:pStyle w:val="Compact"/>
        <w:numPr>
          <w:ilvl w:val="0"/>
          <w:numId w:val="1049"/>
        </w:numPr>
      </w:pPr>
      <w:r>
        <w:t xml:space="preserve">Land (recommended for ORB)</w:t>
      </w:r>
    </w:p>
    <w:p>
      <w:pPr>
        <w:pStyle w:val="Compact"/>
        <w:numPr>
          <w:ilvl w:val="0"/>
          <w:numId w:val="1049"/>
        </w:numPr>
      </w:pPr>
      <w:r>
        <w:t xml:space="preserve">RTC applied (e.g., for maritime scenes with land samples for which RTC has been applied)</w:t>
      </w:r>
    </w:p>
    <w:p>
      <w:pPr>
        <w:pStyle w:val="Compact"/>
        <w:numPr>
          <w:ilvl w:val="0"/>
          <w:numId w:val="1049"/>
        </w:numPr>
      </w:pPr>
      <w:r>
        <w:t xml:space="preserve">DEM gap filling (i.e., interpolated DEM over gaps)</w:t>
      </w:r>
    </w:p>
    <w:bookmarkEnd w:id="157"/>
    <w:bookmarkStart w:id="158" w:name="assessment-30"/>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58"/>
    <w:bookmarkEnd w:id="159"/>
    <w:bookmarkStart w:id="163"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0" w:name="threshold-requirements-31"/>
    <w:p>
      <w:pPr>
        <w:pStyle w:val="berschrift5"/>
      </w:pPr>
      <w:r>
        <w:t xml:space="preserve">Threshold requirements:</w:t>
      </w:r>
    </w:p>
    <w:p>
      <w:pPr>
        <w:pStyle w:val="FirstParagraph"/>
      </w:pPr>
      <w:r>
        <w:t xml:space="preserve">Not required.</w:t>
      </w:r>
      <w:r>
        <w:t xml:space="preserve"> </w:t>
      </w:r>
    </w:p>
    <w:bookmarkEnd w:id="160"/>
    <w:bookmarkStart w:id="161" w:name="goal-requirements-31"/>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1"/>
        </w:numPr>
      </w:pPr>
      <w:r>
        <w:t xml:space="preserve">Sample Type (Scattering Area)</w:t>
      </w:r>
    </w:p>
    <w:p>
      <w:pPr>
        <w:pStyle w:val="Compact"/>
        <w:numPr>
          <w:ilvl w:val="0"/>
          <w:numId w:val="1051"/>
        </w:numPr>
      </w:pPr>
      <w:r>
        <w:t xml:space="preserve">Data Format (GeoTIFF, HDF5, NetCDF, …)</w:t>
      </w:r>
    </w:p>
    <w:p>
      <w:pPr>
        <w:pStyle w:val="Compact"/>
        <w:numPr>
          <w:ilvl w:val="0"/>
          <w:numId w:val="1051"/>
        </w:numPr>
      </w:pPr>
      <w:r>
        <w:t xml:space="preserve">Data Type (Int, Float, …)</w:t>
      </w:r>
    </w:p>
    <w:p>
      <w:pPr>
        <w:pStyle w:val="Compact"/>
        <w:numPr>
          <w:ilvl w:val="0"/>
          <w:numId w:val="1051"/>
        </w:numPr>
      </w:pPr>
      <w:r>
        <w:t xml:space="preserve">Bits per Sample</w:t>
      </w:r>
    </w:p>
    <w:p>
      <w:pPr>
        <w:pStyle w:val="Compact"/>
        <w:numPr>
          <w:ilvl w:val="0"/>
          <w:numId w:val="1051"/>
        </w:numPr>
      </w:pPr>
      <w:r>
        <w:t xml:space="preserve">Byte Order</w:t>
      </w:r>
    </w:p>
    <w:bookmarkEnd w:id="161"/>
    <w:bookmarkStart w:id="162" w:name="assessment-31"/>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62"/>
    <w:bookmarkEnd w:id="163"/>
    <w:bookmarkStart w:id="167"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4" w:name="threshold-requirements-32"/>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3"/>
        </w:numPr>
      </w:pPr>
      <w:r>
        <w:t xml:space="preserve">Sample Type (Angle)</w:t>
      </w:r>
    </w:p>
    <w:p>
      <w:pPr>
        <w:pStyle w:val="Compact"/>
        <w:numPr>
          <w:ilvl w:val="0"/>
          <w:numId w:val="1053"/>
        </w:numPr>
      </w:pPr>
      <w:r>
        <w:t xml:space="preserve">Data Format (GeoTIFF, HDF5, NetCDF, …)</w:t>
      </w:r>
    </w:p>
    <w:p>
      <w:pPr>
        <w:pStyle w:val="Compact"/>
        <w:numPr>
          <w:ilvl w:val="0"/>
          <w:numId w:val="1053"/>
        </w:numPr>
      </w:pPr>
      <w:r>
        <w:t xml:space="preserve">Data Type (Int, Float, …)</w:t>
      </w:r>
    </w:p>
    <w:p>
      <w:pPr>
        <w:pStyle w:val="Compact"/>
        <w:numPr>
          <w:ilvl w:val="0"/>
          <w:numId w:val="1053"/>
        </w:numPr>
      </w:pPr>
      <w:r>
        <w:t xml:space="preserve">Bits per Sample</w:t>
      </w:r>
    </w:p>
    <w:p>
      <w:pPr>
        <w:pStyle w:val="Compact"/>
        <w:numPr>
          <w:ilvl w:val="0"/>
          <w:numId w:val="1053"/>
        </w:numPr>
      </w:pPr>
      <w:r>
        <w:t xml:space="preserve">Byte Order</w:t>
      </w:r>
    </w:p>
    <w:p>
      <w:pPr>
        <w:pStyle w:val="FirstParagraph"/>
      </w:pPr>
      <w:r>
        <w:t xml:space="preserve">Notes:</w:t>
      </w:r>
    </w:p>
    <w:p>
      <w:pPr>
        <w:pStyle w:val="Compact"/>
        <w:numPr>
          <w:ilvl w:val="0"/>
          <w:numId w:val="1054"/>
        </w:numPr>
      </w:pPr>
      <w:r>
        <w:t xml:space="preserve">For maritime ORB scenes when no land areas are covered, a geoid model could be used for the calculation of the local incident angle.</w:t>
      </w:r>
    </w:p>
    <w:bookmarkEnd w:id="164"/>
    <w:bookmarkStart w:id="165" w:name="goal-requirements-32"/>
    <w:p>
      <w:pPr>
        <w:pStyle w:val="berschrift5"/>
      </w:pPr>
      <w:r>
        <w:t xml:space="preserve">Goal requirements:</w:t>
      </w:r>
    </w:p>
    <w:p>
      <w:pPr>
        <w:pStyle w:val="FirstParagraph"/>
      </w:pPr>
      <w:r>
        <w:t xml:space="preserve">As threshold.</w:t>
      </w:r>
      <w:r>
        <w:t xml:space="preserve"> </w:t>
      </w:r>
    </w:p>
    <w:bookmarkEnd w:id="165"/>
    <w:bookmarkStart w:id="166" w:name="assessment-3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66"/>
    <w:bookmarkEnd w:id="167"/>
    <w:bookmarkStart w:id="171"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68" w:name="threshold-requirements-33"/>
    <w:p>
      <w:pPr>
        <w:pStyle w:val="berschrift5"/>
      </w:pPr>
      <w:r>
        <w:t xml:space="preserve">Threshold requirements:</w:t>
      </w:r>
    </w:p>
    <w:p>
      <w:pPr>
        <w:pStyle w:val="FirstParagraph"/>
      </w:pPr>
      <w:r>
        <w:t xml:space="preserve">Not required.</w:t>
      </w:r>
      <w:r>
        <w:t xml:space="preserve"> </w:t>
      </w:r>
    </w:p>
    <w:bookmarkEnd w:id="168"/>
    <w:bookmarkStart w:id="169" w:name="goal-requirements-33"/>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6"/>
        </w:numPr>
      </w:pPr>
      <w:r>
        <w:t xml:space="preserve">Sample Type (Angle)</w:t>
      </w:r>
    </w:p>
    <w:p>
      <w:pPr>
        <w:pStyle w:val="Compact"/>
        <w:numPr>
          <w:ilvl w:val="0"/>
          <w:numId w:val="1056"/>
        </w:numPr>
      </w:pPr>
      <w:r>
        <w:t xml:space="preserve">Data Format (GeoTIFF, HDF5, NetCDF, …)</w:t>
      </w:r>
    </w:p>
    <w:p>
      <w:pPr>
        <w:pStyle w:val="Compact"/>
        <w:numPr>
          <w:ilvl w:val="0"/>
          <w:numId w:val="1056"/>
        </w:numPr>
      </w:pPr>
      <w:r>
        <w:t xml:space="preserve">Data Type (Int, Float, …)</w:t>
      </w:r>
    </w:p>
    <w:p>
      <w:pPr>
        <w:pStyle w:val="Compact"/>
        <w:numPr>
          <w:ilvl w:val="0"/>
          <w:numId w:val="1056"/>
        </w:numPr>
      </w:pPr>
      <w:r>
        <w:t xml:space="preserve">Bits per Sample</w:t>
      </w:r>
    </w:p>
    <w:p>
      <w:pPr>
        <w:pStyle w:val="Compact"/>
        <w:numPr>
          <w:ilvl w:val="0"/>
          <w:numId w:val="1056"/>
        </w:numPr>
      </w:pPr>
      <w:r>
        <w:t xml:space="preserve">Byte Order</w:t>
      </w:r>
    </w:p>
    <w:p>
      <w:pPr>
        <w:pStyle w:val="Compact"/>
        <w:numPr>
          <w:ilvl w:val="0"/>
          <w:numId w:val="1056"/>
        </w:numPr>
      </w:pPr>
      <w:r>
        <w:t xml:space="preserve">Reference Ellipsoid Name</w:t>
      </w:r>
    </w:p>
    <w:p>
      <w:pPr>
        <w:pStyle w:val="FirstParagraph"/>
      </w:pPr>
      <w:r>
        <w:t xml:space="preserve">Notes:</w:t>
      </w:r>
    </w:p>
    <w:p>
      <w:pPr>
        <w:pStyle w:val="Compact"/>
        <w:numPr>
          <w:ilvl w:val="0"/>
          <w:numId w:val="1057"/>
        </w:numPr>
      </w:pPr>
      <w:r>
        <w:t xml:space="preserve">For maritime ORB scenes when no land areas are covered, the ellipsoidal incident angle is nearly identical to the geoid based local incident angle.</w:t>
      </w:r>
    </w:p>
    <w:bookmarkEnd w:id="169"/>
    <w:bookmarkStart w:id="170" w:name="assessment-3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70"/>
    <w:bookmarkEnd w:id="171"/>
    <w:bookmarkStart w:id="175"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2" w:name="threshold-requirements-34"/>
    <w:p>
      <w:pPr>
        <w:pStyle w:val="berschrift5"/>
      </w:pPr>
      <w:r>
        <w:t xml:space="preserve">Threshold requirements:</w:t>
      </w:r>
    </w:p>
    <w:p>
      <w:pPr>
        <w:pStyle w:val="FirstParagraph"/>
      </w:pPr>
      <w:r>
        <w:t xml:space="preserve">Not required.</w:t>
      </w:r>
      <w:r>
        <w:t xml:space="preserve"> </w:t>
      </w:r>
    </w:p>
    <w:bookmarkEnd w:id="172"/>
    <w:bookmarkStart w:id="173" w:name="goal-requirements-34"/>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59"/>
        </w:numPr>
      </w:pPr>
      <w:r>
        <w:t xml:space="preserve">Sample Type (Gamma-Nought, Sigma-Nought, Beta-Nought)</w:t>
      </w:r>
    </w:p>
    <w:p>
      <w:pPr>
        <w:pStyle w:val="Compact"/>
        <w:numPr>
          <w:ilvl w:val="0"/>
          <w:numId w:val="1059"/>
        </w:numPr>
      </w:pPr>
      <w:r>
        <w:t xml:space="preserve">Data Format (GeoTIFF, HDF5, NetCDF, …)</w:t>
      </w:r>
    </w:p>
    <w:p>
      <w:pPr>
        <w:pStyle w:val="Compact"/>
        <w:numPr>
          <w:ilvl w:val="0"/>
          <w:numId w:val="1059"/>
        </w:numPr>
      </w:pPr>
      <w:r>
        <w:t xml:space="preserve">Data Type (Int, Float, …)</w:t>
      </w:r>
    </w:p>
    <w:p>
      <w:pPr>
        <w:pStyle w:val="Compact"/>
        <w:numPr>
          <w:ilvl w:val="0"/>
          <w:numId w:val="1059"/>
        </w:numPr>
      </w:pPr>
      <w:r>
        <w:t xml:space="preserve">Bits per Sample</w:t>
      </w:r>
    </w:p>
    <w:p>
      <w:pPr>
        <w:pStyle w:val="Compact"/>
        <w:numPr>
          <w:ilvl w:val="0"/>
          <w:numId w:val="1059"/>
        </w:numPr>
      </w:pPr>
      <w:r>
        <w:t xml:space="preserve">Byte Order</w:t>
      </w:r>
    </w:p>
    <w:bookmarkEnd w:id="173"/>
    <w:bookmarkStart w:id="174" w:name="assessment-3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74"/>
    <w:bookmarkEnd w:id="175"/>
    <w:bookmarkStart w:id="179"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76" w:name="threshold-requirements-35"/>
    <w:p>
      <w:pPr>
        <w:pStyle w:val="berschrift5"/>
      </w:pPr>
      <w:r>
        <w:t xml:space="preserve">Threshold requirements:</w:t>
      </w:r>
    </w:p>
    <w:p>
      <w:pPr>
        <w:pStyle w:val="FirstParagraph"/>
      </w:pPr>
      <w:r>
        <w:t xml:space="preserve">Not required.</w:t>
      </w:r>
      <w:r>
        <w:t xml:space="preserve"> </w:t>
      </w:r>
    </w:p>
    <w:bookmarkEnd w:id="176"/>
    <w:bookmarkStart w:id="177" w:name="goal-requirements-35"/>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1"/>
        </w:numPr>
      </w:pPr>
      <w:r>
        <w:t xml:space="preserve">Sample Type (Ratio)</w:t>
      </w:r>
    </w:p>
    <w:p>
      <w:pPr>
        <w:pStyle w:val="Compact"/>
        <w:numPr>
          <w:ilvl w:val="0"/>
          <w:numId w:val="1061"/>
        </w:numPr>
      </w:pPr>
      <w:r>
        <w:t xml:space="preserve">Data Format (GeoTIFF, HDF5, NetCDF, …)</w:t>
      </w:r>
    </w:p>
    <w:p>
      <w:pPr>
        <w:pStyle w:val="Compact"/>
        <w:numPr>
          <w:ilvl w:val="0"/>
          <w:numId w:val="1061"/>
        </w:numPr>
      </w:pPr>
      <w:r>
        <w:t xml:space="preserve">Data Type (Int, Float, …)</w:t>
      </w:r>
    </w:p>
    <w:p>
      <w:pPr>
        <w:pStyle w:val="Compact"/>
        <w:numPr>
          <w:ilvl w:val="0"/>
          <w:numId w:val="1061"/>
        </w:numPr>
      </w:pPr>
      <w:r>
        <w:t xml:space="preserve">Bits per Sample</w:t>
      </w:r>
    </w:p>
    <w:p>
      <w:pPr>
        <w:pStyle w:val="Compact"/>
        <w:numPr>
          <w:ilvl w:val="0"/>
          <w:numId w:val="1061"/>
        </w:numPr>
      </w:pPr>
      <w:r>
        <w:t xml:space="preserve">Byte Order</w:t>
      </w:r>
    </w:p>
    <w:bookmarkEnd w:id="177"/>
    <w:bookmarkStart w:id="178" w:name="assessment-35"/>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78"/>
    <w:bookmarkEnd w:id="179"/>
    <w:bookmarkStart w:id="183"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0" w:name="threshold-requirements-36"/>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3"/>
        </w:numPr>
      </w:pPr>
      <w:r>
        <w:t xml:space="preserve">Sample type (Day, Time, ID)</w:t>
      </w:r>
    </w:p>
    <w:p>
      <w:pPr>
        <w:pStyle w:val="Compact"/>
        <w:numPr>
          <w:ilvl w:val="0"/>
          <w:numId w:val="1063"/>
        </w:numPr>
      </w:pPr>
      <w:r>
        <w:t xml:space="preserve">Data Format (GeoTIFF, HDF5, NetCDF, …)</w:t>
      </w:r>
    </w:p>
    <w:p>
      <w:pPr>
        <w:pStyle w:val="Compact"/>
        <w:numPr>
          <w:ilvl w:val="0"/>
          <w:numId w:val="1063"/>
        </w:numPr>
      </w:pPr>
      <w:r>
        <w:t xml:space="preserve">Data Type (Int, Float, …)</w:t>
      </w:r>
    </w:p>
    <w:p>
      <w:pPr>
        <w:pStyle w:val="Compact"/>
        <w:numPr>
          <w:ilvl w:val="0"/>
          <w:numId w:val="1063"/>
        </w:numPr>
      </w:pPr>
      <w:r>
        <w:t xml:space="preserve">Bits per sample</w:t>
      </w:r>
    </w:p>
    <w:p>
      <w:pPr>
        <w:pStyle w:val="Compact"/>
        <w:numPr>
          <w:ilvl w:val="0"/>
          <w:numId w:val="1063"/>
        </w:numPr>
      </w:pPr>
      <w:r>
        <w:t xml:space="preserve">Byte Order</w:t>
      </w:r>
    </w:p>
    <w:bookmarkEnd w:id="180"/>
    <w:bookmarkStart w:id="181" w:name="goal-requirements-36"/>
    <w:p>
      <w:pPr>
        <w:pStyle w:val="berschrift5"/>
      </w:pPr>
      <w:r>
        <w:t xml:space="preserve">Goal requirements:</w:t>
      </w:r>
    </w:p>
    <w:p>
      <w:pPr>
        <w:pStyle w:val="FirstParagraph"/>
      </w:pPr>
      <w:r>
        <w:t xml:space="preserve">In case of image composites, the sources for each pixel are uniquely identified.</w:t>
      </w:r>
    </w:p>
    <w:bookmarkEnd w:id="181"/>
    <w:bookmarkStart w:id="182" w:name="assessment-36"/>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82"/>
    <w:bookmarkEnd w:id="183"/>
    <w:bookmarkStart w:id="187"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4" w:name="threshold-requirements-37"/>
    <w:p>
      <w:pPr>
        <w:pStyle w:val="berschrift5"/>
      </w:pPr>
      <w:r>
        <w:t xml:space="preserve">Threshold requirements:</w:t>
      </w:r>
    </w:p>
    <w:p>
      <w:pPr>
        <w:pStyle w:val="FirstParagraph"/>
      </w:pPr>
      <w:r>
        <w:t xml:space="preserve">Not required.</w:t>
      </w:r>
      <w:r>
        <w:t xml:space="preserve"> </w:t>
      </w:r>
    </w:p>
    <w:bookmarkEnd w:id="184"/>
    <w:bookmarkStart w:id="185" w:name="goal-requirements-37"/>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5"/>
        </w:numPr>
      </w:pPr>
      <w:r>
        <w:t xml:space="preserve">Sample Type (Height)</w:t>
      </w:r>
    </w:p>
    <w:p>
      <w:pPr>
        <w:pStyle w:val="Compact"/>
        <w:numPr>
          <w:ilvl w:val="0"/>
          <w:numId w:val="1065"/>
        </w:numPr>
      </w:pPr>
      <w:r>
        <w:t xml:space="preserve">Data Format (GeoTIFF, HDF5, NetCDF, …)</w:t>
      </w:r>
    </w:p>
    <w:p>
      <w:pPr>
        <w:pStyle w:val="Compact"/>
        <w:numPr>
          <w:ilvl w:val="0"/>
          <w:numId w:val="1065"/>
        </w:numPr>
      </w:pPr>
      <w:r>
        <w:t xml:space="preserve">Data Type (Int, Float, …)</w:t>
      </w:r>
    </w:p>
    <w:p>
      <w:pPr>
        <w:pStyle w:val="Compact"/>
        <w:numPr>
          <w:ilvl w:val="0"/>
          <w:numId w:val="1065"/>
        </w:numPr>
      </w:pPr>
      <w:r>
        <w:t xml:space="preserve">Bits per Sample</w:t>
      </w:r>
    </w:p>
    <w:p>
      <w:pPr>
        <w:pStyle w:val="Compact"/>
        <w:numPr>
          <w:ilvl w:val="0"/>
          <w:numId w:val="1065"/>
        </w:numPr>
      </w:pPr>
      <w:r>
        <w:t xml:space="preserve">Byte Order</w:t>
      </w:r>
    </w:p>
    <w:bookmarkEnd w:id="185"/>
    <w:bookmarkStart w:id="186" w:name="assessment-37"/>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86"/>
    <w:bookmarkEnd w:id="187"/>
    <w:bookmarkEnd w:id="188"/>
    <w:bookmarkStart w:id="21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2" w:name="sec:rcm.measurements-backscatter-pol"/>
    <w:p>
      <w:pPr>
        <w:pStyle w:val="berschrift4"/>
      </w:pPr>
      <w:r>
        <w:rPr>
          <w:rStyle w:val="VerbatimChar"/>
        </w:rPr>
        <w:t xml:space="preserve">5.1.</w:t>
      </w:r>
      <w:r>
        <w:t xml:space="preserve"> </w:t>
      </w:r>
      <w:r>
        <w:t xml:space="preserve">Backscatter Measurements (POL)</w:t>
      </w:r>
    </w:p>
    <w:p>
      <w:pPr>
        <w:pStyle w:val="FirstParagraph"/>
      </w:pPr>
      <w:r>
        <w:t xml:space="preserve">Identifier:</w:t>
      </w:r>
      <w:r>
        <w:t xml:space="preserve"> </w:t>
      </w:r>
      <w:r>
        <w:rPr>
          <w:rStyle w:val="VerbatimChar"/>
        </w:rPr>
        <w:t xml:space="preserve">rcm.measurements-backscatter-pol</w:t>
      </w:r>
    </w:p>
    <w:bookmarkStart w:id="189" w:name="threshold-requirements-38"/>
    <w:p>
      <w:pPr>
        <w:pStyle w:val="berschrift5"/>
      </w:pPr>
      <w:r>
        <w:t xml:space="preserve">Threshold requirements:</w:t>
      </w:r>
    </w:p>
    <w:p>
      <w:pPr>
        <w:pStyle w:val="FirstParagraph"/>
      </w:pPr>
      <w:r>
        <w:t xml:space="preserve">Measurements can be one of the following types or both:</w:t>
      </w:r>
    </w:p>
    <w:p>
      <w:pPr>
        <w:pStyle w:val="Compact"/>
        <w:numPr>
          <w:ilvl w:val="0"/>
          <w:numId w:val="1067"/>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67"/>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68"/>
        </w:numPr>
      </w:pPr>
      <w:r>
        <w:t xml:space="preserve">Measurement Type (CovMat, PRD)</w:t>
      </w:r>
    </w:p>
    <w:p>
      <w:pPr>
        <w:pStyle w:val="Compact"/>
        <w:numPr>
          <w:ilvl w:val="0"/>
          <w:numId w:val="1068"/>
        </w:numPr>
      </w:pPr>
      <w:r>
        <w:t xml:space="preserve">Measurement convention unit (linear amplitude, linear power, angle)</w:t>
      </w:r>
    </w:p>
    <w:p>
      <w:pPr>
        <w:pStyle w:val="Compact"/>
        <w:numPr>
          <w:ilvl w:val="0"/>
          <w:numId w:val="1068"/>
        </w:numPr>
      </w:pPr>
      <w:r>
        <w:t xml:space="preserve">Individual covariance matrix element or/and Individual component of the decomposition (C3m11, C3m12, … or H, A, alpha, or …)</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FirstParagraph"/>
      </w:pPr>
      <w:r>
        <w:t xml:space="preserve">Notes:</w:t>
      </w:r>
    </w:p>
    <w:p>
      <w:pPr>
        <w:pStyle w:val="Compact"/>
        <w:numPr>
          <w:ilvl w:val="0"/>
          <w:numId w:val="1069"/>
        </w:numPr>
      </w:pPr>
      <w:r>
        <w:t xml:space="preserve">It is recommended to keep CovMat or PRD measurement files separated.</w:t>
      </w:r>
      <w:r>
        <w:t xml:space="preserve"> </w:t>
      </w:r>
      <w:r>
        <w:t xml:space="preserve">Otherwise, specify the multi-channel format order (BIP, BIL, BSQ).</w:t>
      </w:r>
    </w:p>
    <w:bookmarkEnd w:id="189"/>
    <w:bookmarkStart w:id="190" w:name="goal-requirements-38"/>
    <w:p>
      <w:pPr>
        <w:pStyle w:val="berschrift5"/>
      </w:pPr>
      <w:r>
        <w:t xml:space="preserve">Goal requirements:</w:t>
      </w:r>
    </w:p>
    <w:p>
      <w:pPr>
        <w:pStyle w:val="FirstParagraph"/>
      </w:pPr>
      <w:r>
        <w:t xml:space="preserve">As threshold.</w:t>
      </w:r>
      <w:r>
        <w:t xml:space="preserve"> </w:t>
      </w:r>
    </w:p>
    <w:bookmarkEnd w:id="190"/>
    <w:bookmarkStart w:id="191" w:name="assessment-38"/>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91"/>
    <w:bookmarkEnd w:id="192"/>
    <w:bookmarkStart w:id="196"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3" w:name="threshold-requirements-39"/>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3"/>
    <w:bookmarkStart w:id="194" w:name="goal-requirements-39"/>
    <w:p>
      <w:pPr>
        <w:pStyle w:val="berschrift5"/>
      </w:pPr>
      <w:r>
        <w:t xml:space="preserve">Goal requirements:</w:t>
      </w:r>
    </w:p>
    <w:p>
      <w:pPr>
        <w:pStyle w:val="FirstParagraph"/>
      </w:pPr>
      <w:r>
        <w:t xml:space="preserve">As threshold, but use of float32.</w:t>
      </w:r>
    </w:p>
    <w:bookmarkEnd w:id="194"/>
    <w:bookmarkStart w:id="195" w:name="assessment-39"/>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5"/>
    <w:bookmarkEnd w:id="196"/>
    <w:bookmarkStart w:id="200"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197" w:name="threshold-requirements-40"/>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2"/>
        </w:numPr>
      </w:pPr>
      <w:r>
        <w:t xml:space="preserve">Thermal noise removal and image border noise removal to remove overall scene noise and scene edge artefacts, respectively.</w:t>
      </w:r>
    </w:p>
    <w:bookmarkEnd w:id="197"/>
    <w:bookmarkStart w:id="198" w:name="goal-requirements-40"/>
    <w:p>
      <w:pPr>
        <w:pStyle w:val="berschrift5"/>
      </w:pPr>
      <w:r>
        <w:t xml:space="preserve">Goal requirements:</w:t>
      </w:r>
    </w:p>
    <w:p>
      <w:pPr>
        <w:pStyle w:val="FirstParagraph"/>
      </w:pPr>
      <w:r>
        <w:t xml:space="preserve">As threshold.</w:t>
      </w:r>
      <w:r>
        <w:t xml:space="preserve"> </w:t>
      </w:r>
    </w:p>
    <w:bookmarkEnd w:id="198"/>
    <w:bookmarkStart w:id="199" w:name="assessment-40"/>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99"/>
    <w:bookmarkEnd w:id="200"/>
    <w:bookmarkStart w:id="204" w:name="Xf981818e792e21b770362bad62a8a52b48acfa3"/>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01" w:name="threshold-requirements-41"/>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74"/>
        </w:numPr>
      </w:pPr>
      <w:r>
        <w:t xml:space="preserve">a citable peer-reviewed algorithm</w:t>
      </w:r>
    </w:p>
    <w:p>
      <w:pPr>
        <w:pStyle w:val="Compact"/>
        <w:numPr>
          <w:ilvl w:val="0"/>
          <w:numId w:val="1074"/>
        </w:numPr>
      </w:pPr>
      <w:r>
        <w:t xml:space="preserve">technical documentation regarding the algorithm used to generate the backscatter estimates is expressed as URLs or DOIs</w:t>
      </w:r>
    </w:p>
    <w:p>
      <w:pPr>
        <w:pStyle w:val="Compact"/>
        <w:numPr>
          <w:ilvl w:val="0"/>
          <w:numId w:val="1074"/>
        </w:numPr>
      </w:pPr>
      <w:r>
        <w:t xml:space="preserve">the sources of auxiliary data used to make corrections</w:t>
      </w:r>
    </w:p>
    <w:p>
      <w:pPr>
        <w:pStyle w:val="FirstParagraph"/>
      </w:pPr>
      <w:r>
        <w:t xml:space="preserve">Notes:</w:t>
      </w:r>
    </w:p>
    <w:p>
      <w:pPr>
        <w:pStyle w:val="Compact"/>
        <w:numPr>
          <w:ilvl w:val="0"/>
          <w:numId w:val="1075"/>
        </w:numPr>
      </w:pPr>
      <w:r>
        <w:t xml:space="preserve">Examples of technical documentation include an Algorithm, Theoretical Basis Document, product user guide, etc.</w:t>
      </w:r>
    </w:p>
    <w:bookmarkEnd w:id="201"/>
    <w:bookmarkStart w:id="202" w:name="goal-requirements-41"/>
    <w:p>
      <w:pPr>
        <w:pStyle w:val="berschrift5"/>
      </w:pPr>
      <w:r>
        <w:t xml:space="preserve">Goal requirements:</w:t>
      </w:r>
    </w:p>
    <w:p>
      <w:pPr>
        <w:pStyle w:val="FirstParagraph"/>
      </w:pPr>
      <w:r>
        <w:t xml:space="preserve">As threshold.</w:t>
      </w:r>
      <w:r>
        <w:t xml:space="preserve"> </w:t>
      </w:r>
    </w:p>
    <w:bookmarkEnd w:id="202"/>
    <w:bookmarkStart w:id="203" w:name="assessment-41"/>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203"/>
    <w:bookmarkEnd w:id="204"/>
    <w:bookmarkStart w:id="208"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05" w:name="threshold-requirements-42"/>
    <w:p>
      <w:pPr>
        <w:pStyle w:val="berschrift5"/>
      </w:pPr>
      <w:r>
        <w:t xml:space="preserve">Threshold requirements:</w:t>
      </w:r>
    </w:p>
    <w:p>
      <w:pPr>
        <w:pStyle w:val="FirstParagraph"/>
      </w:pPr>
      <w:r>
        <w:t xml:space="preserve">Not required.</w:t>
      </w:r>
      <w:r>
        <w:t xml:space="preserve"> </w:t>
      </w:r>
    </w:p>
    <w:bookmarkEnd w:id="205"/>
    <w:bookmarkStart w:id="206" w:name="goal-requirements-42"/>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06"/>
    <w:bookmarkStart w:id="207" w:name="assessment-42"/>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207"/>
    <w:bookmarkEnd w:id="208"/>
    <w:bookmarkStart w:id="212" w:name="sec:rcm.measurements-flattened-phase"/>
    <w:p>
      <w:pPr>
        <w:pStyle w:val="berschrift4"/>
      </w:pPr>
      <w:r>
        <w:rPr>
          <w:rStyle w:val="VerbatimChar"/>
        </w:rPr>
        <w:t xml:space="preserve">5.6.</w:t>
      </w:r>
      <w:r>
        <w:t xml:space="preserve"> </w:t>
      </w:r>
      <w:r>
        <w:t xml:space="preserve">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09" w:name="threshold-requirements-43"/>
    <w:p>
      <w:pPr>
        <w:pStyle w:val="berschrift5"/>
      </w:pPr>
      <w:r>
        <w:t xml:space="preserve">Threshold requirements:</w:t>
      </w:r>
    </w:p>
    <w:p>
      <w:pPr>
        <w:pStyle w:val="FirstParagraph"/>
      </w:pPr>
      <w:r>
        <w:t xml:space="preserve">Not required.</w:t>
      </w:r>
      <w:r>
        <w:t xml:space="preserve"> </w:t>
      </w:r>
    </w:p>
    <w:bookmarkEnd w:id="209"/>
    <w:bookmarkStart w:id="210" w:name="goal-requirements-43"/>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78"/>
        </w:numPr>
      </w:pPr>
      <w:r>
        <w:t xml:space="preserve">Measurement Type (Flattened Phase)</w:t>
      </w:r>
    </w:p>
    <w:p>
      <w:pPr>
        <w:pStyle w:val="Compact"/>
        <w:numPr>
          <w:ilvl w:val="0"/>
          <w:numId w:val="1078"/>
        </w:numPr>
      </w:pPr>
      <w:r>
        <w:t xml:space="preserve">Reference Polarization (HH/HV/VV/VH)</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FirstParagraph"/>
      </w:pPr>
      <w:r>
        <w:t xml:space="preserve">In case of polarimetric data, indicate the reference polarization.</w:t>
      </w:r>
    </w:p>
    <w:bookmarkEnd w:id="210"/>
    <w:bookmarkStart w:id="211" w:name="assessment-43"/>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bookmarkEnd w:id="211"/>
    <w:bookmarkEnd w:id="212"/>
    <w:bookmarkEnd w:id="213"/>
    <w:bookmarkStart w:id="23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17"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4" w:name="threshold-requirements-44"/>
    <w:p>
      <w:pPr>
        <w:pStyle w:val="berschrift5"/>
      </w:pPr>
      <w:r>
        <w:t xml:space="preserve">Threshold requirements:</w:t>
      </w:r>
    </w:p>
    <w:p>
      <w:pPr>
        <w:pStyle w:val="FirstParagraph"/>
      </w:pPr>
      <w:r>
        <w:t xml:space="preserve">Not required.</w:t>
      </w:r>
      <w:r>
        <w:t xml:space="preserve"> </w:t>
      </w:r>
    </w:p>
    <w:bookmarkEnd w:id="214"/>
    <w:bookmarkStart w:id="215" w:name="goal-requirements-44"/>
    <w:p>
      <w:pPr>
        <w:pStyle w:val="berschrift5"/>
      </w:pPr>
      <w:r>
        <w:t xml:space="preserve">Goal requirements:</w:t>
      </w:r>
    </w:p>
    <w:p>
      <w:pPr>
        <w:pStyle w:val="FirstParagraph"/>
      </w:pPr>
      <w:r>
        <w:t xml:space="preserve">Metadata references, e.g.:</w:t>
      </w:r>
    </w:p>
    <w:p>
      <w:pPr>
        <w:pStyle w:val="Compact"/>
        <w:numPr>
          <w:ilvl w:val="0"/>
          <w:numId w:val="1080"/>
        </w:numPr>
      </w:pPr>
      <w:r>
        <w:t xml:space="preserve">A metadata citable peer-reviewed algorithm</w:t>
      </w:r>
    </w:p>
    <w:p>
      <w:pPr>
        <w:pStyle w:val="Compact"/>
        <w:numPr>
          <w:ilvl w:val="0"/>
          <w:numId w:val="1080"/>
        </w:numPr>
      </w:pPr>
      <w:r>
        <w:t xml:space="preserve">Technical documentation regarding the implementation of that algorithm expressed as URLs or DOIs</w:t>
      </w:r>
    </w:p>
    <w:p>
      <w:pPr>
        <w:pStyle w:val="Compact"/>
        <w:numPr>
          <w:ilvl w:val="0"/>
          <w:numId w:val="1080"/>
        </w:numPr>
      </w:pPr>
      <w:r>
        <w:t xml:space="preserve">The sources of auxiliary data used to make corrections</w:t>
      </w:r>
    </w:p>
    <w:p>
      <w:pPr>
        <w:pStyle w:val="Compact"/>
        <w:numPr>
          <w:ilvl w:val="0"/>
          <w:numId w:val="1080"/>
        </w:numPr>
      </w:pPr>
      <w:r>
        <w:t xml:space="preserve">Resampling method used for geometric processing of the source data</w:t>
      </w:r>
    </w:p>
    <w:p>
      <w:pPr>
        <w:pStyle w:val="FirstParagraph"/>
      </w:pPr>
      <w:r>
        <w:t xml:space="preserve">Notes:</w:t>
      </w:r>
    </w:p>
    <w:p>
      <w:pPr>
        <w:pStyle w:val="Compact"/>
        <w:numPr>
          <w:ilvl w:val="0"/>
          <w:numId w:val="1081"/>
        </w:numPr>
      </w:pPr>
      <w:r>
        <w:t xml:space="preserve">Examples of technical documentation can include e.g., an Algorithm Theoretical Basis Document (ATBD) or a product user guide.</w:t>
      </w:r>
    </w:p>
    <w:bookmarkEnd w:id="215"/>
    <w:bookmarkStart w:id="216" w:name="assessment-44"/>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216"/>
    <w:bookmarkEnd w:id="217"/>
    <w:bookmarkStart w:id="221"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18" w:name="threshold-requirements-45"/>
    <w:p>
      <w:pPr>
        <w:pStyle w:val="berschrift5"/>
      </w:pPr>
      <w:r>
        <w:t xml:space="preserve">Threshold requirements:</w:t>
      </w:r>
    </w:p>
    <w:p>
      <w:pPr>
        <w:pStyle w:val="Compact"/>
        <w:numPr>
          <w:ilvl w:val="0"/>
          <w:numId w:val="1083"/>
        </w:numPr>
      </w:pPr>
      <w:r>
        <w:t xml:space="preserve">During ortho-rectification, the data provider shall use the same DEM that was used for the radiometric terrain flattening to ensure consistency of the data stack.</w:t>
      </w:r>
    </w:p>
    <w:p>
      <w:pPr>
        <w:pStyle w:val="Compact"/>
        <w:numPr>
          <w:ilvl w:val="0"/>
          <w:numId w:val="1083"/>
        </w:numPr>
      </w:pPr>
      <w:r>
        <w:t xml:space="preserve">Provide reference to Digital Elevation Model used for geometric terrain correction.</w:t>
      </w:r>
    </w:p>
    <w:p>
      <w:pPr>
        <w:pStyle w:val="Compact"/>
        <w:numPr>
          <w:ilvl w:val="0"/>
          <w:numId w:val="1083"/>
        </w:numPr>
      </w:pPr>
      <w:r>
        <w:t xml:space="preserve">Provide reference to Earth Gravitational Model (EGM) used for geometric correction.</w:t>
      </w:r>
    </w:p>
    <w:bookmarkEnd w:id="218"/>
    <w:bookmarkStart w:id="219" w:name="goal-requirements-45"/>
    <w:p>
      <w:pPr>
        <w:pStyle w:val="berschrift5"/>
      </w:pPr>
      <w:r>
        <w:t xml:space="preserve">Goal requirements:</w:t>
      </w:r>
    </w:p>
    <w:p>
      <w:pPr>
        <w:pStyle w:val="Compact"/>
        <w:numPr>
          <w:ilvl w:val="0"/>
          <w:numId w:val="108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4"/>
        </w:numPr>
      </w:pPr>
      <w:r>
        <w:t xml:space="preserve">Resampling method used for preparation of the DEM.</w:t>
      </w:r>
    </w:p>
    <w:p>
      <w:pPr>
        <w:pStyle w:val="Compact"/>
        <w:numPr>
          <w:ilvl w:val="0"/>
          <w:numId w:val="1084"/>
        </w:numPr>
      </w:pPr>
      <w:r>
        <w:t xml:space="preserve">Method used for resampling the EGM.</w:t>
      </w:r>
    </w:p>
    <w:bookmarkEnd w:id="219"/>
    <w:bookmarkStart w:id="220" w:name="assessment-45"/>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220"/>
    <w:bookmarkEnd w:id="221"/>
    <w:bookmarkStart w:id="225"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2" w:name="threshold-requirements-46"/>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6"/>
        </w:numPr>
      </w:pPr>
      <w:r>
        <w:t xml:space="preserve">The ALE is not typically assessed for every processed image, but through an ALE assessment by the data processing team characterizing all or (usually a subset) of the generated products.</w:t>
      </w:r>
    </w:p>
    <w:bookmarkEnd w:id="222"/>
    <w:bookmarkStart w:id="223" w:name="goal-requirements-46"/>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3"/>
    <w:bookmarkStart w:id="224" w:name="assessment-46"/>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224"/>
    <w:bookmarkEnd w:id="225"/>
    <w:bookmarkStart w:id="229"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26" w:name="threshold-requirements-47"/>
    <w:p>
      <w:pPr>
        <w:pStyle w:val="berschrift5"/>
      </w:pPr>
      <w:r>
        <w:t xml:space="preserve">Threshold requirements:</w:t>
      </w:r>
    </w:p>
    <w:p>
      <w:pPr>
        <w:pStyle w:val="FirstParagraph"/>
      </w:pPr>
      <w:r>
        <w:t xml:space="preserve">Not required.</w:t>
      </w:r>
      <w:r>
        <w:t xml:space="preserve"> </w:t>
      </w:r>
    </w:p>
    <w:bookmarkEnd w:id="226"/>
    <w:bookmarkStart w:id="227" w:name="goal-requirements-47"/>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27"/>
    <w:bookmarkStart w:id="228" w:name="assessment-47"/>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28"/>
    <w:bookmarkEnd w:id="229"/>
    <w:bookmarkStart w:id="233"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0" w:name="threshold-requirements-48"/>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89"/>
        </w:numPr>
      </w:pPr>
      <w:r>
        <w:t xml:space="preserve">If a product hierarchy of resolutions exists (or is planned), the multiple resolutions should nest within each other (e.g., 12.5m, 25m, 50m, 100m, etc.), and not be disjoint.</w:t>
      </w:r>
    </w:p>
    <w:bookmarkEnd w:id="230"/>
    <w:bookmarkStart w:id="231" w:name="goal-requirements-48"/>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1"/>
    <w:bookmarkStart w:id="232" w:name="assessment-48"/>
    <w:p>
      <w:pPr>
        <w:pStyle w:val="berschrift5"/>
      </w:pPr>
      <w:r>
        <w:t xml:space="preserve">Assessment:</w:t>
      </w:r>
    </w:p>
    <w:p>
      <w:pPr>
        <w:pStyle w:val="Compact"/>
        <w:numPr>
          <w:ilvl w:val="0"/>
          <w:numId w:val="1090"/>
        </w:numPr>
      </w:pPr>
      <w:r>
        <w:t xml:space="preserve">Threshold Self-Assessment:</w:t>
      </w:r>
    </w:p>
    <w:p>
      <w:pPr>
        <w:pStyle w:val="Compact"/>
        <w:numPr>
          <w:ilvl w:val="0"/>
          <w:numId w:val="1090"/>
        </w:numPr>
      </w:pPr>
      <w:r>
        <w:t xml:space="preserve">Goal Self-Assessment:</w:t>
      </w:r>
    </w:p>
    <w:p>
      <w:pPr>
        <w:pStyle w:val="Compact"/>
        <w:numPr>
          <w:ilvl w:val="0"/>
          <w:numId w:val="1090"/>
        </w:numPr>
      </w:pPr>
      <w:r>
        <w:t xml:space="preserve">Self-Assessment Explanation/ Justification:</w:t>
      </w:r>
    </w:p>
    <w:p>
      <w:pPr>
        <w:pStyle w:val="Compact"/>
        <w:numPr>
          <w:ilvl w:val="0"/>
          <w:numId w:val="1090"/>
        </w:numPr>
      </w:pPr>
      <w:r>
        <w:t xml:space="preserve">Recommended Requirement Modification:</w:t>
      </w:r>
    </w:p>
    <w:p>
      <w:r>
        <w:br w:type="page"/>
      </w:r>
    </w:p>
    <w:bookmarkEnd w:id="232"/>
    <w:bookmarkEnd w:id="233"/>
    <w:bookmarkEnd w:id="234"/>
    <w:bookmarkEnd w:id="235"/>
    <w:bookmarkStart w:id="242" w:name="summary-self-assessment-table"/>
    <w:p>
      <w:pPr>
        <w:pStyle w:val="berschrift2"/>
      </w:pPr>
      <w:r>
        <w:t xml:space="preserve">Summary Self-Assessment Table</w:t>
      </w:r>
    </w:p>
    <w:bookmarkStart w:id="23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36"/>
    <w:bookmarkStart w:id="23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37"/>
    <w:bookmarkStart w:id="23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prd.metadata-speckle-filtering-pol</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bl>
    <w:bookmarkEnd w:id="238"/>
    <w:bookmarkStart w:id="23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bl>
    <w:bookmarkEnd w:id="239"/>
    <w:bookmarkStart w:id="24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40"/>
    <w:bookmarkStart w:id="24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1"/>
    <w:bookmarkEnd w:id="242"/>
    <w:bookmarkStart w:id="249"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3"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3"/>
    <w:bookmarkStart w:id="245"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1"/>
        </w:numPr>
      </w:pPr>
      <w:r>
        <w:t xml:space="preserve">that product has been assessed as meeting CEOS-ARD requirements by the agency responsible for production and distribution of the product, and</w:t>
      </w:r>
    </w:p>
    <w:p>
      <w:pPr>
        <w:pStyle w:val="Compact"/>
        <w:numPr>
          <w:ilvl w:val="0"/>
          <w:numId w:val="109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4">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45"/>
    <w:bookmarkStart w:id="246"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246"/>
    <w:bookmarkStart w:id="247" w:name="sec:intro-sar-pol-processing-levels"/>
    <w:p>
      <w:pPr>
        <w:pStyle w:val="berschrift3"/>
      </w:pPr>
      <w:r>
        <w:t xml:space="preserve">Which processing levels are defined in the CEOS-ARD Polarimetric Radar PFS?</w:t>
      </w:r>
    </w:p>
    <w:p>
      <w:pPr>
        <w:pStyle w:val="FirstParagraph"/>
      </w:pPr>
      <w:r>
        <w:t xml:space="preserve">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End w:id="247"/>
    <w:bookmarkStart w:id="248" w:name="sec:intro-sar-pol-limitations"/>
    <w:p>
      <w:pPr>
        <w:pStyle w:val="berschrift3"/>
      </w:pPr>
      <w:r>
        <w:t xml:space="preserve">Which limitations apply to CEOS-ARD Polarimetric Radar?</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248"/>
    <w:bookmarkEnd w:id="249"/>
    <w:bookmarkStart w:id="277" w:name="references"/>
    <w:p>
      <w:pPr>
        <w:pStyle w:val="berschrift2"/>
      </w:pPr>
      <w:r>
        <w:t xml:space="preserve">References</w:t>
      </w:r>
    </w:p>
    <w:bookmarkStart w:id="276" w:name="refs"/>
    <w:bookmarkStart w:id="251"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0">
        <w:r>
          <w:rPr>
            <w:rStyle w:val="Hyperlink"/>
          </w:rPr>
          <w:t xml:space="preserve">https://doi.org/10.1109/36.499784</w:t>
        </w:r>
      </w:hyperlink>
      <w:r>
        <w:t xml:space="preserve">.</w:t>
      </w:r>
    </w:p>
    <w:bookmarkEnd w:id="251"/>
    <w:bookmarkStart w:id="253"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52">
        <w:r>
          <w:rPr>
            <w:rStyle w:val="Hyperlink"/>
          </w:rPr>
          <w:t xml:space="preserve">https://doi.org/10.1109/36.485127</w:t>
        </w:r>
      </w:hyperlink>
      <w:r>
        <w:t xml:space="preserve">.</w:t>
      </w:r>
    </w:p>
    <w:bookmarkEnd w:id="253"/>
    <w:bookmarkStart w:id="255"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54">
        <w:r>
          <w:rPr>
            <w:rStyle w:val="Hyperlink"/>
          </w:rPr>
          <w:t xml:space="preserve">https://doi.org/10.1109/36.673687</w:t>
        </w:r>
      </w:hyperlink>
      <w:r>
        <w:t xml:space="preserve">.</w:t>
      </w:r>
    </w:p>
    <w:bookmarkEnd w:id="255"/>
    <w:bookmarkStart w:id="257"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56">
        <w:r>
          <w:rPr>
            <w:rStyle w:val="Hyperlink"/>
          </w:rPr>
          <w:t xml:space="preserve">https://doi.org/10.1080/2150704X.2012.687470</w:t>
        </w:r>
      </w:hyperlink>
      <w:r>
        <w:t xml:space="preserve">.</w:t>
      </w:r>
    </w:p>
    <w:bookmarkEnd w:id="257"/>
    <w:bookmarkStart w:id="258"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8"/>
    <w:bookmarkStart w:id="259"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59"/>
    <w:bookmarkStart w:id="261"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0">
        <w:r>
          <w:rPr>
            <w:rStyle w:val="Hyperlink"/>
          </w:rPr>
          <w:t xml:space="preserve">https://doi.org/10.1109/TGRS.2008.2002881</w:t>
        </w:r>
      </w:hyperlink>
      <w:r>
        <w:t xml:space="preserve">.</w:t>
      </w:r>
    </w:p>
    <w:bookmarkEnd w:id="261"/>
    <w:bookmarkStart w:id="263"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62">
        <w:r>
          <w:rPr>
            <w:rStyle w:val="Hyperlink"/>
          </w:rPr>
          <w:t xml:space="preserve">https://doi.org/10.1029/2011JE003986</w:t>
        </w:r>
      </w:hyperlink>
      <w:r>
        <w:t xml:space="preserve">.</w:t>
      </w:r>
    </w:p>
    <w:bookmarkEnd w:id="263"/>
    <w:bookmarkStart w:id="265"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64">
        <w:r>
          <w:rPr>
            <w:rStyle w:val="Hyperlink"/>
          </w:rPr>
          <w:t xml:space="preserve">https://doi.org/10.1109/TGRS.2022.3147472</w:t>
        </w:r>
      </w:hyperlink>
      <w:r>
        <w:t xml:space="preserve">.</w:t>
      </w:r>
    </w:p>
    <w:bookmarkEnd w:id="265"/>
    <w:bookmarkStart w:id="267"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6">
        <w:r>
          <w:rPr>
            <w:rStyle w:val="Hyperlink"/>
          </w:rPr>
          <w:t xml:space="preserve">https://doi.org/10.1109/TGRS.2011.2120616</w:t>
        </w:r>
      </w:hyperlink>
      <w:r>
        <w:t xml:space="preserve">.</w:t>
      </w:r>
    </w:p>
    <w:bookmarkEnd w:id="267"/>
    <w:bookmarkStart w:id="269"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68">
        <w:r>
          <w:rPr>
            <w:rStyle w:val="Hyperlink"/>
          </w:rPr>
          <w:t xml:space="preserve">https://doi.org/10.1109/TGRS.2012.2233206</w:t>
        </w:r>
      </w:hyperlink>
      <w:r>
        <w:t xml:space="preserve">.</w:t>
      </w:r>
    </w:p>
    <w:bookmarkEnd w:id="269"/>
    <w:bookmarkStart w:id="271"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0">
        <w:r>
          <w:rPr>
            <w:rStyle w:val="Hyperlink"/>
          </w:rPr>
          <w:t xml:space="preserve">https://doi.org/10.1109/TGRS.2010.2099124</w:t>
        </w:r>
      </w:hyperlink>
      <w:r>
        <w:t xml:space="preserve">.</w:t>
      </w:r>
    </w:p>
    <w:bookmarkEnd w:id="271"/>
    <w:bookmarkStart w:id="273"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2">
        <w:r>
          <w:rPr>
            <w:rStyle w:val="Hyperlink"/>
          </w:rPr>
          <w:t xml:space="preserve">https://doi.org/10.1109/LGRS.2017.2753580</w:t>
        </w:r>
      </w:hyperlink>
      <w:r>
        <w:t xml:space="preserve">.</w:t>
      </w:r>
    </w:p>
    <w:bookmarkEnd w:id="273"/>
    <w:bookmarkStart w:id="275"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74">
        <w:r>
          <w:rPr>
            <w:rStyle w:val="Hyperlink"/>
          </w:rPr>
          <w:t xml:space="preserve">https://doi.org/10.1109/TGRS.2010.2051333</w:t>
        </w:r>
      </w:hyperlink>
      <w:r>
        <w:t xml:space="preserve">.</w:t>
      </w:r>
    </w:p>
    <w:bookmarkEnd w:id="275"/>
    <w:bookmarkEnd w:id="276"/>
    <w:p>
      <w:r>
        <w:br w:type="page"/>
      </w:r>
    </w:p>
    <w:bookmarkEnd w:id="277"/>
    <w:bookmarkStart w:id="313" w:name="annexes"/>
    <w:p>
      <w:pPr>
        <w:pStyle w:val="berschrift2"/>
      </w:pPr>
      <w:r>
        <w:t xml:space="preserve">Annexes</w:t>
      </w:r>
    </w:p>
    <w:bookmarkStart w:id="279"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2"/>
        </w:numPr>
      </w:pPr>
      <w:r>
        <w:t xml:space="preserve">Apply instrument calibration to produce Beta-Nought values with high fidelity.</w:t>
      </w:r>
    </w:p>
    <w:p>
      <w:pPr>
        <w:pStyle w:val="Compact"/>
        <w:numPr>
          <w:ilvl w:val="0"/>
          <w:numId w:val="1092"/>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2"/>
        </w:numPr>
      </w:pPr>
      <w:r>
        <w:t xml:space="preserve">Generate CEOS format metadata to accompany product layers.</w:t>
      </w:r>
    </w:p>
    <w:p>
      <w:pPr>
        <w:pStyle w:val="Compact"/>
        <w:numPr>
          <w:ilvl w:val="0"/>
          <w:numId w:val="109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8"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8"/>
    <w:bookmarkEnd w:id="279"/>
    <w:bookmarkStart w:id="291"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0"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0"/>
    </w:p>
    <w:p>
      <w:pPr>
        <w:pStyle w:val="FirstParagraph"/>
      </w:pPr>
      <w:r>
        <w:t xml:space="preserve">Where</w:t>
      </w:r>
    </w:p>
    <w:p>
      <w:pPr>
        <w:pStyle w:val="Textkrper"/>
      </w:pPr>
      <w:bookmarkStart w:id="281"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1"/>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82"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82"/>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83"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83"/>
    </w:p>
    <w:p>
      <w:pPr>
        <w:pStyle w:val="FirstParagraph"/>
      </w:pPr>
      <w:bookmarkStart w:id="284"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84"/>
    </w:p>
    <w:p>
      <w:pPr>
        <w:pStyle w:val="FirstParagraph"/>
      </w:pPr>
      <w:r>
        <w:t xml:space="preserve">The differential phase is</w:t>
      </w:r>
    </w:p>
    <w:p>
      <w:pPr>
        <w:pStyle w:val="Textkrper"/>
      </w:pPr>
      <w:bookmarkStart w:id="285"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85"/>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86"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86"/>
    </w:p>
    <w:p>
      <w:pPr>
        <w:pStyle w:val="FirstParagraph"/>
      </w:pPr>
      <w:bookmarkStart w:id="287"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87"/>
    </w:p>
    <w:p>
      <w:pPr>
        <w:pStyle w:val="FirstParagraph"/>
      </w:pPr>
      <w:bookmarkStart w:id="288"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8"/>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9"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9"/>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0"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0"/>
    </w:p>
    <w:bookmarkEnd w:id="291"/>
    <w:bookmarkStart w:id="298"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92"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92"/>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93"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93"/>
    </w:p>
    <w:p>
      <w:pPr>
        <w:pStyle w:val="FirstParagraph"/>
      </w:pPr>
      <w:bookmarkStart w:id="294"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94"/>
    </w:p>
    <w:p>
      <w:pPr>
        <w:pStyle w:val="FirstParagraph"/>
      </w:pPr>
      <w:bookmarkStart w:id="295"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95"/>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96"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96"/>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297"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297"/>
    </w:p>
    <w:bookmarkEnd w:id="298"/>
    <w:bookmarkStart w:id="303"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0"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094"/>
        </w:numPr>
      </w:pPr>
      <w:r>
        <w:t xml:space="preserve">Pauli decomposition (3 layers)</w:t>
      </w:r>
    </w:p>
    <w:p>
      <w:pPr>
        <w:pStyle w:val="Compact"/>
        <w:numPr>
          <w:ilvl w:val="1"/>
          <w:numId w:val="1095"/>
        </w:numPr>
      </w:pPr>
      <m:oMath>
        <m:sSup>
          <m:e>
            <m:d>
              <m:dPr>
                <m:begChr m:val="|"/>
                <m:sepChr m:val=""/>
                <m:endChr m:val="|"/>
                <m:grow/>
              </m:dPr>
              <m:e>
                <m:r>
                  <m:t>α</m:t>
                </m:r>
              </m:e>
            </m:d>
          </m:e>
          <m:sup>
            <m:r>
              <m:t>2</m:t>
            </m:r>
          </m:sup>
        </m:sSup>
      </m:oMath>
      <w:r>
        <w:t xml:space="preserve">: sphere (odd-bounce interaction) [Intensity]</w:t>
      </w:r>
    </w:p>
    <w:p>
      <w:pPr>
        <w:pStyle w:val="Compact"/>
        <w:numPr>
          <w:ilvl w:val="1"/>
          <w:numId w:val="1095"/>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095"/>
        </w:numPr>
      </w:pPr>
      <m:oMath>
        <m:sSup>
          <m:e>
            <m:d>
              <m:dPr>
                <m:begChr m:val="|"/>
                <m:sepChr m:val=""/>
                <m:endChr m:val="|"/>
                <m:grow/>
              </m:dPr>
              <m:e>
                <m:r>
                  <m:t>γ</m:t>
                </m:r>
              </m:e>
            </m:d>
          </m:e>
          <m:sup>
            <m:r>
              <m:t>2</m:t>
            </m:r>
          </m:sup>
        </m:sSup>
      </m:oMath>
      <w:r>
        <w:t xml:space="preserve">: 45° diplane (volumetric interaction) [Intensity]</w:t>
      </w:r>
    </w:p>
    <w:p>
      <w:pPr>
        <w:numPr>
          <w:ilvl w:val="0"/>
          <w:numId w:val="1094"/>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096"/>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096"/>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096"/>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096"/>
        </w:numPr>
      </w:pPr>
      <m:oMath>
        <m:r>
          <m:t>θ</m:t>
        </m:r>
      </m:oMath>
      <w:r>
        <w:t xml:space="preserve">: orientation angle [degrees]</w:t>
      </w:r>
    </w:p>
    <w:p>
      <w:pPr>
        <w:pStyle w:val="Compact"/>
        <w:numPr>
          <w:ilvl w:val="1"/>
          <w:numId w:val="1096"/>
        </w:numPr>
      </w:pPr>
      <m:oMath>
        <m:sSub>
          <m:e>
            <m:r>
              <m:t>Φ</m:t>
            </m:r>
          </m:e>
          <m:sub>
            <m:r>
              <m:t>s</m:t>
            </m:r>
          </m:sub>
        </m:sSub>
      </m:oMath>
      <w:r>
        <w:t xml:space="preserve">: sphere to diplane angle [degrees]</w:t>
      </w:r>
    </w:p>
    <w:p>
      <w:pPr>
        <w:numPr>
          <w:ilvl w:val="0"/>
          <w:numId w:val="1094"/>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299" w:name="tbl:sar-pol-prd-tbl1"/>
    <w:p>
      <w:pPr>
        <w:pStyle w:val="Compact"/>
      </w:pPr>
      <w:r>
        <w:t xml:space="preserve">Table 2: Elementary objects of known scattering signature</w:t>
      </w:r>
    </w:p>
    <w:tbl>
      <w:tblPr>
        <w:tblStyle w:val="Table"/>
        <w:tblW w:type="auto" w:w="0"/>
        <w:jc w:val="left"/>
        <w:tblInd w:w="720" w:type="dxa"/>
        <w:tblLook w:firstRow="1" w:lastRow="0" w:firstColumn="0" w:lastColumn="0" w:noHBand="0" w:noVBand="0" w:val="0020"/>
        <w:tblCaption w:val="Table 2: Elementary objects of known scattering signature"/>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299"/>
    <w:bookmarkEnd w:id="300"/>
    <w:bookmarkStart w:id="302"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097"/>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1"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1"/>
    <w:p>
      <w:pPr>
        <w:numPr>
          <w:ilvl w:val="0"/>
          <w:numId w:val="1097"/>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098"/>
        </w:numPr>
      </w:pPr>
      <m:oMath>
        <m:r>
          <m:t>H</m:t>
        </m:r>
      </m:oMath>
      <w:r>
        <w:t xml:space="preserve"> </w:t>
      </w:r>
      <w:r>
        <w:t xml:space="preserve">: Entropy [ ] is the polarization diversity</w:t>
      </w:r>
    </w:p>
    <w:p>
      <w:pPr>
        <w:pStyle w:val="Compact"/>
        <w:numPr>
          <w:ilvl w:val="1"/>
          <w:numId w:val="1098"/>
        </w:numPr>
      </w:pPr>
      <m:oMath>
        <m:r>
          <m:t>A</m:t>
        </m:r>
      </m:oMath>
      <w:r>
        <w:t xml:space="preserve"> </w:t>
      </w:r>
      <w:r>
        <w:t xml:space="preserve">: Anisotropy [ ] is weighted difference between the 2ⁿᵈ and 3ʳᵈ eigenvalues</w:t>
      </w:r>
    </w:p>
    <w:p>
      <w:pPr>
        <w:pStyle w:val="Compact"/>
        <w:numPr>
          <w:ilvl w:val="1"/>
          <w:numId w:val="1098"/>
        </w:numPr>
      </w:pPr>
      <m:oMath>
        <m:r>
          <m:t>α</m:t>
        </m:r>
      </m:oMath>
      <w:r>
        <w:t xml:space="preserve"> </w:t>
      </w:r>
      <w:r>
        <w:t xml:space="preserve">: Odd-even bounce angle [Degrees]</w:t>
      </w:r>
    </w:p>
    <w:p>
      <w:pPr>
        <w:pStyle w:val="Compact"/>
        <w:numPr>
          <w:ilvl w:val="1"/>
          <w:numId w:val="1098"/>
        </w:numPr>
      </w:pPr>
      <m:oMath>
        <m:r>
          <m:t>β</m:t>
        </m:r>
      </m:oMath>
      <w:r>
        <w:t xml:space="preserve"> </w:t>
      </w:r>
      <w:r>
        <w:t xml:space="preserve">: orientation angle [Degrees]</w:t>
      </w:r>
    </w:p>
    <w:bookmarkEnd w:id="302"/>
    <w:bookmarkEnd w:id="303"/>
    <w:bookmarkStart w:id="312"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07"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05" name="Picture"/>
            <a:graphic>
              <a:graphicData uri="http://schemas.openxmlformats.org/drawingml/2006/picture">
                <pic:pic>
                  <pic:nvPicPr>
                    <pic:cNvPr descr="assets/sar-pol-examples/pol-decomposition.jpeg" id="306" name="Picture"/>
                    <pic:cNvPicPr>
                      <a:picLocks noChangeArrowheads="1" noChangeAspect="1"/>
                    </pic:cNvPicPr>
                  </pic:nvPicPr>
                  <pic:blipFill>
                    <a:blip r:embed="rId304"/>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07"/>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1"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09" name="Picture"/>
            <a:graphic>
              <a:graphicData uri="http://schemas.openxmlformats.org/drawingml/2006/picture">
                <pic:pic>
                  <pic:nvPicPr>
                    <pic:cNvPr descr="assets/sar-pol-examples/m-chi-decomposition.jpeg" id="310" name="Picture"/>
                    <pic:cNvPicPr>
                      <a:picLocks noChangeArrowheads="1" noChangeAspect="1"/>
                    </pic:cNvPicPr>
                  </pic:nvPicPr>
                  <pic:blipFill>
                    <a:blip r:embed="rId308"/>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1"/>
    <w:bookmarkEnd w:id="312"/>
    <w:bookmarkEnd w:id="313"/>
    <w:bookmarkEnd w:id="31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08" Target="media/rId308.jpg" /><Relationship Type="http://schemas.openxmlformats.org/officeDocument/2006/relationships/image" Id="rId304" Target="media/rId304.jpg" /><Relationship Type="http://schemas.openxmlformats.org/officeDocument/2006/relationships/hyperlink" Id="rId244"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62" Target="https://doi.org/10.1029/2011JE003986" TargetMode="External" /><Relationship Type="http://schemas.openxmlformats.org/officeDocument/2006/relationships/hyperlink" Id="rId256" Target="https://doi.org/10.1080/2150704X.2012.687470" TargetMode="External" /><Relationship Type="http://schemas.openxmlformats.org/officeDocument/2006/relationships/hyperlink" Id="rId252" Target="https://doi.org/10.1109/36.485127" TargetMode="External" /><Relationship Type="http://schemas.openxmlformats.org/officeDocument/2006/relationships/hyperlink" Id="rId250" Target="https://doi.org/10.1109/36.499784" TargetMode="External" /><Relationship Type="http://schemas.openxmlformats.org/officeDocument/2006/relationships/hyperlink" Id="rId254" Target="https://doi.org/10.1109/36.673687" TargetMode="External" /><Relationship Type="http://schemas.openxmlformats.org/officeDocument/2006/relationships/hyperlink" Id="rId272" Target="https://doi.org/10.1109/LGRS.2017.2753580" TargetMode="External" /><Relationship Type="http://schemas.openxmlformats.org/officeDocument/2006/relationships/hyperlink" Id="rId260" Target="https://doi.org/10.1109/TGRS.2008.2002881" TargetMode="External" /><Relationship Type="http://schemas.openxmlformats.org/officeDocument/2006/relationships/hyperlink" Id="rId274" Target="https://doi.org/10.1109/TGRS.2010.2051333" TargetMode="External" /><Relationship Type="http://schemas.openxmlformats.org/officeDocument/2006/relationships/hyperlink" Id="rId270" Target="https://doi.org/10.1109/TGRS.2010.2099124" TargetMode="External" /><Relationship Type="http://schemas.openxmlformats.org/officeDocument/2006/relationships/hyperlink" Id="rId266" Target="https://doi.org/10.1109/TGRS.2011.2120616" TargetMode="External" /><Relationship Type="http://schemas.openxmlformats.org/officeDocument/2006/relationships/hyperlink" Id="rId268" Target="https://doi.org/10.1109/TGRS.2012.2233206" TargetMode="External" /><Relationship Type="http://schemas.openxmlformats.org/officeDocument/2006/relationships/hyperlink" Id="rId264"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4"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62" Target="https://doi.org/10.1029/2011JE003986" TargetMode="External" /><Relationship Type="http://schemas.openxmlformats.org/officeDocument/2006/relationships/hyperlink" Id="rId256" Target="https://doi.org/10.1080/2150704X.2012.687470" TargetMode="External" /><Relationship Type="http://schemas.openxmlformats.org/officeDocument/2006/relationships/hyperlink" Id="rId252" Target="https://doi.org/10.1109/36.485127" TargetMode="External" /><Relationship Type="http://schemas.openxmlformats.org/officeDocument/2006/relationships/hyperlink" Id="rId250" Target="https://doi.org/10.1109/36.499784" TargetMode="External" /><Relationship Type="http://schemas.openxmlformats.org/officeDocument/2006/relationships/hyperlink" Id="rId254" Target="https://doi.org/10.1109/36.673687" TargetMode="External" /><Relationship Type="http://schemas.openxmlformats.org/officeDocument/2006/relationships/hyperlink" Id="rId272" Target="https://doi.org/10.1109/LGRS.2017.2753580" TargetMode="External" /><Relationship Type="http://schemas.openxmlformats.org/officeDocument/2006/relationships/hyperlink" Id="rId260" Target="https://doi.org/10.1109/TGRS.2008.2002881" TargetMode="External" /><Relationship Type="http://schemas.openxmlformats.org/officeDocument/2006/relationships/hyperlink" Id="rId274" Target="https://doi.org/10.1109/TGRS.2010.2051333" TargetMode="External" /><Relationship Type="http://schemas.openxmlformats.org/officeDocument/2006/relationships/hyperlink" Id="rId270" Target="https://doi.org/10.1109/TGRS.2010.2099124" TargetMode="External" /><Relationship Type="http://schemas.openxmlformats.org/officeDocument/2006/relationships/hyperlink" Id="rId266" Target="https://doi.org/10.1109/TGRS.2011.2120616" TargetMode="External" /><Relationship Type="http://schemas.openxmlformats.org/officeDocument/2006/relationships/hyperlink" Id="rId268" Target="https://doi.org/10.1109/TGRS.2012.2233206" TargetMode="External" /><Relationship Type="http://schemas.openxmlformats.org/officeDocument/2006/relationships/hyperlink" Id="rId264"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2025-06-17T13:04:53Z</dcterms:created>
  <dcterms:modified xsi:type="dcterms:W3CDTF">2025-06-17T13:04:53Z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