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79" w:name="ceos-ard---optical---surface-reflectance"/>
    <w:p>
      <w:pPr>
        <w:pStyle w:val="berschrift1"/>
      </w:pPr>
      <w:r>
        <w:t xml:space="preserve">CEOS-ARD - Optical - Surface Reflectance</w:t>
      </w:r>
    </w:p>
    <w:p>
      <w:pPr>
        <w:pStyle w:val="FirstParagraph"/>
      </w:pPr>
      <w:r>
        <w:t xml:space="preserve"> </w:t>
      </w:r>
    </w:p>
    <w:bookmarkStart w:id="24" w:name="document-status"/>
    <w:p>
      <w:pPr>
        <w:pStyle w:val="berschrift2"/>
      </w:pPr>
      <w:r>
        <w:t xml:space="preserve">Document Status</w:t>
      </w:r>
    </w:p>
    <w:p>
      <w:pPr>
        <w:pStyle w:val="FirstParagraph"/>
      </w:pPr>
      <w:r>
        <w:t xml:space="preserve">Product Family Specification, Optical, Surface Reflectance</w:t>
      </w:r>
    </w:p>
    <w:p>
      <w:pPr>
        <w:pStyle w:val="Textkrper"/>
      </w:pPr>
      <w:r>
        <w:t xml:space="preserve">Proposed revisions may be provided to:</w:t>
      </w:r>
      <w:r>
        <w:t xml:space="preserve"> </w:t>
      </w:r>
      <w:hyperlink r:id="rId23">
        <w:r>
          <w:rPr>
            <w:rStyle w:val="Hyperlink"/>
          </w:rPr>
          <w:t xml:space="preserve">ard-contact@lists.ceos.org</w:t>
        </w:r>
      </w:hyperlink>
    </w:p>
    <w:bookmarkEnd w:id="24"/>
    <w:bookmarkStart w:id="25" w:name="document-history"/>
    <w:p>
      <w:pPr>
        <w:pStyle w:val="berschrift2"/>
      </w:pPr>
      <w:r>
        <w:t xml:space="preserve">Document History</w:t>
      </w:r>
    </w:p>
    <w:p>
      <w:pPr>
        <w:pStyle w:val="FirstParagraph"/>
      </w:pPr>
      <w:r>
        <w:t xml:space="preserve">Not available yet</w:t>
      </w:r>
    </w:p>
    <w:bookmarkEnd w:id="25"/>
    <w:bookmarkStart w:id="26" w:name="contributing-authors"/>
    <w:p>
      <w:pPr>
        <w:pStyle w:val="berschrift2"/>
      </w:pPr>
      <w:r>
        <w:t xml:space="preserve">Contributing Authors</w:t>
      </w:r>
    </w:p>
    <w:p>
      <w:pPr>
        <w:pStyle w:val="Compact"/>
        <w:numPr>
          <w:ilvl w:val="0"/>
          <w:numId w:val="1001"/>
        </w:numPr>
      </w:pPr>
      <w:r>
        <w:t xml:space="preserve">Adam Lewis, Geoscience Australia, Australia</w:t>
      </w:r>
    </w:p>
    <w:p>
      <w:pPr>
        <w:pStyle w:val="Compact"/>
        <w:numPr>
          <w:ilvl w:val="0"/>
          <w:numId w:val="1001"/>
        </w:numPr>
      </w:pPr>
      <w:r>
        <w:t xml:space="preserve">Jonathon Ross, Geoscience Australia, Australia</w:t>
      </w:r>
    </w:p>
    <w:p>
      <w:pPr>
        <w:pStyle w:val="Compact"/>
        <w:numPr>
          <w:ilvl w:val="0"/>
          <w:numId w:val="1001"/>
        </w:numPr>
      </w:pPr>
      <w:r>
        <w:t xml:space="preserve">Andreia Siqueira, Geoscience Australia, Australia</w:t>
      </w:r>
    </w:p>
    <w:p>
      <w:pPr>
        <w:pStyle w:val="Compact"/>
        <w:numPr>
          <w:ilvl w:val="0"/>
          <w:numId w:val="1001"/>
        </w:numPr>
      </w:pPr>
      <w:r>
        <w:t xml:space="preserve">Darcie Bontje, USGS, USA</w:t>
      </w:r>
    </w:p>
    <w:p>
      <w:pPr>
        <w:pStyle w:val="Compact"/>
        <w:numPr>
          <w:ilvl w:val="0"/>
          <w:numId w:val="1001"/>
        </w:numPr>
      </w:pPr>
      <w:r>
        <w:t xml:space="preserve">Steve Labahn, USGS, USA</w:t>
      </w:r>
    </w:p>
    <w:p>
      <w:pPr>
        <w:pStyle w:val="Compact"/>
        <w:numPr>
          <w:ilvl w:val="0"/>
          <w:numId w:val="1001"/>
        </w:numPr>
      </w:pPr>
      <w:r>
        <w:t xml:space="preserve">Mary Metzger, USGS, USA</w:t>
      </w:r>
    </w:p>
    <w:p>
      <w:pPr>
        <w:pStyle w:val="Compact"/>
        <w:numPr>
          <w:ilvl w:val="0"/>
          <w:numId w:val="1001"/>
        </w:numPr>
      </w:pPr>
      <w:r>
        <w:t xml:space="preserve">Matt Steventon, LSI-VC Secretariat</w:t>
      </w:r>
    </w:p>
    <w:p>
      <w:r>
        <w:br w:type="page"/>
      </w:r>
    </w:p>
    <w:bookmarkEnd w:id="26"/>
    <w:bookmarkStart w:id="27" w:name="ceos-analysis-ready-data-definition"/>
    <w:p>
      <w:pPr>
        <w:pStyle w:val="berschrift2"/>
      </w:pPr>
      <w:r>
        <w:t xml:space="preserve">CEOS Analysis Ready Data Definition</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bookmarkEnd w:id="27"/>
    <w:bookmarkStart w:id="28" w:name="description"/>
    <w:p>
      <w:pPr>
        <w:pStyle w:val="berschrift2"/>
      </w:pPr>
      <w:r>
        <w:t xml:space="preserve">Description</w:t>
      </w:r>
    </w:p>
    <w:p>
      <w:pPr>
        <w:pStyle w:val="FirstParagraph"/>
      </w:pPr>
      <w:r>
        <w:rPr>
          <w:b/>
          <w:bCs/>
        </w:rPr>
        <w:t xml:space="preserve">Product Family Specification:</w:t>
      </w:r>
      <w:r>
        <w:t xml:space="preserve"> </w:t>
      </w:r>
      <w:r>
        <w:t xml:space="preserve">Optical, Surface Reflectance (SR)</w:t>
      </w:r>
    </w:p>
    <w:p>
      <w:pPr>
        <w:pStyle w:val="Textkrper"/>
      </w:pPr>
      <w:r>
        <w:rPr>
          <w:b/>
          <w:bCs/>
        </w:rPr>
        <w:t xml:space="preserve">Version:</w:t>
      </w:r>
      <w:r>
        <w:t xml:space="preserve"> </w:t>
      </w:r>
      <w:r>
        <w:t xml:space="preserve">5.1-draft</w:t>
      </w:r>
    </w:p>
    <w:p>
      <w:pPr>
        <w:pStyle w:val="Textkrper"/>
      </w:pPr>
      <w:r>
        <w:rPr>
          <w:b/>
          <w:bCs/>
        </w:rPr>
        <w:t xml:space="preserve">Applies to:</w:t>
      </w:r>
      <w:r>
        <w:t xml:space="preserve"> </w:t>
      </w:r>
      <w:r>
        <w:t xml:space="preserve">Data collected by Optical sensors</w:t>
      </w:r>
    </w:p>
    <w:bookmarkEnd w:id="28"/>
    <w:bookmarkStart w:id="29" w:name="background"/>
    <w:p>
      <w:pPr>
        <w:pStyle w:val="berschrift2"/>
      </w:pPr>
      <w:r>
        <w:t xml:space="preserve">Background</w:t>
      </w:r>
    </w:p>
    <w:p>
      <w:pPr>
        <w:pStyle w:val="FirstParagraph"/>
      </w:pPr>
      <w:r>
        <w:t xml:space="preserve">Data collected with multispectral optical sensors operating in the VIS/NIR/SWIR wavelengths at all ground sample distances and resolutions.</w:t>
      </w:r>
    </w:p>
    <w:p>
      <w:r>
        <w:br w:type="page"/>
      </w:r>
    </w:p>
    <w:bookmarkEnd w:id="29"/>
    <w:bookmarkStart w:id="30" w:name="definitions-and-abbreviations"/>
    <w:p>
      <w:pPr>
        <w:pStyle w:val="berschrift2"/>
      </w:pPr>
      <w:r>
        <w:t xml:space="preserve">Definitions and Abbreviations</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NIR</w:t>
      </w:r>
    </w:p>
    <w:p>
      <w:pPr>
        <w:pStyle w:val="Definition"/>
      </w:pPr>
      <w:r>
        <w:t xml:space="preserve">Near Infrared</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SR</w:t>
      </w:r>
    </w:p>
    <w:p>
      <w:pPr>
        <w:pStyle w:val="Definition"/>
      </w:pPr>
      <w:r>
        <w:t xml:space="preserve">Surface Reflectance</w:t>
      </w:r>
    </w:p>
    <w:p>
      <w:pPr>
        <w:pStyle w:val="DefinitionTerm"/>
      </w:pPr>
      <w:r>
        <w:t xml:space="preserve">SWIR</w:t>
      </w:r>
    </w:p>
    <w:p>
      <w:pPr>
        <w:pStyle w:val="Definition"/>
      </w:pPr>
      <w:r>
        <w:t xml:space="preserve">Shortwave Infrared</w:t>
      </w:r>
    </w:p>
    <w:p>
      <w:pPr>
        <w:pStyle w:val="DefinitionTerm"/>
      </w:pPr>
      <w:r>
        <w:t xml:space="preserve">VIS</w:t>
      </w:r>
    </w:p>
    <w:p>
      <w:pPr>
        <w:pStyle w:val="Definition"/>
      </w:pPr>
      <w:r>
        <w:t xml:space="preserve">Visible</w:t>
      </w:r>
    </w:p>
    <w:p>
      <w:r>
        <w:br w:type="page"/>
      </w:r>
    </w:p>
    <w:bookmarkEnd w:id="30"/>
    <w:bookmarkStart w:id="61"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5"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4" w:name="sec:meta.metadata-traceability"/>
    <w:p>
      <w:pPr>
        <w:pStyle w:val="berschrift4"/>
      </w:pPr>
      <w:r>
        <w:rPr>
          <w:rStyle w:val="VerbatimChar"/>
        </w:rPr>
        <w:t xml:space="preserve">1.1.</w:t>
      </w:r>
      <w:r>
        <w:t xml:space="preserve"> </w:t>
      </w:r>
      <w:r>
        <w:t xml:space="preserve">Traceability</w:t>
      </w:r>
    </w:p>
    <w:p>
      <w:pPr>
        <w:pStyle w:val="FirstParagraph"/>
      </w:pPr>
      <w:r>
        <w:t xml:space="preserve">Identifier:</w:t>
      </w:r>
      <w:r>
        <w:t xml:space="preserve"> </w:t>
      </w:r>
      <w:r>
        <w:rPr>
          <w:rStyle w:val="VerbatimChar"/>
        </w:rPr>
        <w:t xml:space="preserve">meta.metadata-traceability</w:t>
      </w:r>
    </w:p>
    <w:bookmarkStart w:id="31" w:name="threshold-requirements"/>
    <w:p>
      <w:pPr>
        <w:pStyle w:val="berschrift5"/>
      </w:pPr>
      <w:r>
        <w:t xml:space="preserve">Threshold requirements:</w:t>
      </w:r>
    </w:p>
    <w:p>
      <w:pPr>
        <w:pStyle w:val="FirstParagraph"/>
      </w:pPr>
      <w:r>
        <w:t xml:space="preserve">Not required.</w:t>
      </w:r>
      <w:r>
        <w:t xml:space="preserve"> </w:t>
      </w:r>
    </w:p>
    <w:bookmarkEnd w:id="31"/>
    <w:bookmarkStart w:id="32"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2"/>
        </w:numPr>
      </w:pPr>
      <w:r>
        <w:t xml:space="preserve">Relationship to Section </w:t>
      </w:r>
      <w:r>
        <w:t xml:space="preserve">“</w:t>
      </w:r>
      <w:hyperlink w:anchor="sec:rac.measurements-uncertainty">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2"/>
        </w:numPr>
      </w:pPr>
      <w:r>
        <w:t xml:space="preserve">Information on traceability should be available in the metadata as a single DOI landing page.</w:t>
      </w:r>
    </w:p>
    <w:bookmarkEnd w:id="32"/>
    <w:bookmarkStart w:id="33" w:name="assessment"/>
    <w:p>
      <w:pPr>
        <w:pStyle w:val="berschrift5"/>
      </w:pPr>
      <w:r>
        <w:t xml:space="preserve">Assessment:</w:t>
      </w:r>
    </w:p>
    <w:p>
      <w:pPr>
        <w:pStyle w:val="Compact"/>
        <w:numPr>
          <w:ilvl w:val="0"/>
          <w:numId w:val="1003"/>
        </w:numPr>
      </w:pPr>
      <w:r>
        <w:t xml:space="preserve">Threshold Self-Assessment:</w:t>
      </w:r>
    </w:p>
    <w:p>
      <w:pPr>
        <w:pStyle w:val="Compact"/>
        <w:numPr>
          <w:ilvl w:val="0"/>
          <w:numId w:val="1003"/>
        </w:numPr>
      </w:pPr>
      <w:r>
        <w:t xml:space="preserve">Goal Self-Assessment:</w:t>
      </w:r>
    </w:p>
    <w:p>
      <w:pPr>
        <w:pStyle w:val="Compact"/>
        <w:numPr>
          <w:ilvl w:val="0"/>
          <w:numId w:val="1003"/>
        </w:numPr>
      </w:pPr>
      <w:r>
        <w:t xml:space="preserve">Self-Assessment Explanation/ Justification:</w:t>
      </w:r>
    </w:p>
    <w:p>
      <w:pPr>
        <w:pStyle w:val="Compact"/>
        <w:numPr>
          <w:ilvl w:val="0"/>
          <w:numId w:val="1003"/>
        </w:numPr>
      </w:pPr>
      <w:r>
        <w:t xml:space="preserve">Recommended Requirement Modification:</w:t>
      </w:r>
    </w:p>
    <w:bookmarkEnd w:id="33"/>
    <w:bookmarkEnd w:id="34"/>
    <w:bookmarkEnd w:id="35"/>
    <w:bookmarkStart w:id="40"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39" w:name="sec:src.example"/>
    <w:p>
      <w:pPr>
        <w:pStyle w:val="berschrift4"/>
      </w:pPr>
      <w:r>
        <w:rPr>
          <w:rStyle w:val="VerbatimChar"/>
        </w:rPr>
        <w:t xml:space="preserve">2.1.</w:t>
      </w:r>
      <w:r>
        <w:t xml:space="preserve"> </w:t>
      </w:r>
      <w:r>
        <w:t xml:space="preserve">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6" w:name="threshold-requirements-1"/>
    <w:p>
      <w:pPr>
        <w:pStyle w:val="berschrift5"/>
      </w:pPr>
      <w:r>
        <w:t xml:space="preserve">Threshold requirements:</w:t>
      </w:r>
    </w:p>
    <w:p>
      <w:pPr>
        <w:pStyle w:val="FirstParagraph"/>
      </w:pPr>
      <w:r>
        <w:t xml:space="preserve">This is a threshold requirement.</w:t>
      </w:r>
    </w:p>
    <w:bookmarkEnd w:id="36"/>
    <w:bookmarkStart w:id="37"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4"/>
        </w:numPr>
      </w:pPr>
      <w:r>
        <w:t xml:space="preserve">This is a note.</w:t>
      </w:r>
    </w:p>
    <w:bookmarkEnd w:id="37"/>
    <w:bookmarkStart w:id="38" w:name="assessment-1"/>
    <w:p>
      <w:pPr>
        <w:pStyle w:val="berschrift5"/>
      </w:pPr>
      <w:r>
        <w:t xml:space="preserve">Assessment:</w:t>
      </w:r>
    </w:p>
    <w:p>
      <w:pPr>
        <w:pStyle w:val="Compact"/>
        <w:numPr>
          <w:ilvl w:val="0"/>
          <w:numId w:val="1005"/>
        </w:numPr>
      </w:pPr>
      <w:r>
        <w:t xml:space="preserve">Threshold Self-Assessment:</w:t>
      </w:r>
    </w:p>
    <w:p>
      <w:pPr>
        <w:pStyle w:val="Compact"/>
        <w:numPr>
          <w:ilvl w:val="0"/>
          <w:numId w:val="1005"/>
        </w:numPr>
      </w:pPr>
      <w:r>
        <w:t xml:space="preserve">Goal Self-Assessment:</w:t>
      </w:r>
    </w:p>
    <w:p>
      <w:pPr>
        <w:pStyle w:val="Compact"/>
        <w:numPr>
          <w:ilvl w:val="0"/>
          <w:numId w:val="1005"/>
        </w:numPr>
      </w:pPr>
      <w:r>
        <w:t xml:space="preserve">Self-Assessment Explanation/ Justification:</w:t>
      </w:r>
    </w:p>
    <w:p>
      <w:pPr>
        <w:pStyle w:val="Compact"/>
        <w:numPr>
          <w:ilvl w:val="0"/>
          <w:numId w:val="1005"/>
        </w:numPr>
      </w:pPr>
      <w:r>
        <w:t xml:space="preserve">Recommended Requirement Modification:</w:t>
      </w:r>
    </w:p>
    <w:bookmarkEnd w:id="38"/>
    <w:bookmarkEnd w:id="39"/>
    <w:bookmarkEnd w:id="40"/>
    <w:bookmarkStart w:id="45"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4" w:name="sec:prd.example"/>
    <w:p>
      <w:pPr>
        <w:pStyle w:val="berschrift4"/>
      </w:pPr>
      <w:r>
        <w:rPr>
          <w:rStyle w:val="VerbatimChar"/>
        </w:rPr>
        <w:t xml:space="preserve">3.1.</w:t>
      </w:r>
      <w:r>
        <w:t xml:space="preserve"> </w:t>
      </w:r>
      <w:r>
        <w:t xml:space="preserve">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1" w:name="threshold-requirements-2"/>
    <w:p>
      <w:pPr>
        <w:pStyle w:val="berschrift5"/>
      </w:pPr>
      <w:r>
        <w:t xml:space="preserve">Threshold requirements:</w:t>
      </w:r>
    </w:p>
    <w:p>
      <w:pPr>
        <w:pStyle w:val="FirstParagraph"/>
      </w:pPr>
      <w:r>
        <w:t xml:space="preserve">This is a threshold requirement.</w:t>
      </w:r>
    </w:p>
    <w:bookmarkEnd w:id="41"/>
    <w:bookmarkStart w:id="42"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6"/>
        </w:numPr>
      </w:pPr>
      <w:r>
        <w:t xml:space="preserve">This is a note.</w:t>
      </w:r>
    </w:p>
    <w:bookmarkEnd w:id="42"/>
    <w:bookmarkStart w:id="43" w:name="assessment-2"/>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43"/>
    <w:bookmarkEnd w:id="44"/>
    <w:bookmarkEnd w:id="45"/>
    <w:bookmarkStart w:id="50"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p>
      <w:pPr>
        <w:pStyle w:val="Textkrper"/>
      </w:pPr>
      <w:r>
        <w:rPr>
          <w:i/>
          <w:iCs/>
        </w:rPr>
        <w:t xml:space="preserve">Cloud optimized file formats are recommended.</w:t>
      </w:r>
    </w:p>
    <w:bookmarkStart w:id="49" w:name="sec:pxl.example"/>
    <w:p>
      <w:pPr>
        <w:pStyle w:val="berschrift4"/>
      </w:pPr>
      <w:r>
        <w:rPr>
          <w:rStyle w:val="VerbatimChar"/>
        </w:rPr>
        <w:t xml:space="preserve">4.1.</w:t>
      </w:r>
      <w:r>
        <w:t xml:space="preserve"> </w:t>
      </w:r>
      <w:r>
        <w:t xml:space="preserve">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6" w:name="threshold-requirements-3"/>
    <w:p>
      <w:pPr>
        <w:pStyle w:val="berschrift5"/>
      </w:pPr>
      <w:r>
        <w:t xml:space="preserve">Threshold requirements:</w:t>
      </w:r>
    </w:p>
    <w:p>
      <w:pPr>
        <w:pStyle w:val="FirstParagraph"/>
      </w:pPr>
      <w:r>
        <w:t xml:space="preserve">This is a threshold requirement.</w:t>
      </w:r>
    </w:p>
    <w:bookmarkEnd w:id="46"/>
    <w:bookmarkStart w:id="47"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8"/>
        </w:numPr>
      </w:pPr>
      <w:r>
        <w:t xml:space="preserve">This is a note.</w:t>
      </w:r>
    </w:p>
    <w:bookmarkEnd w:id="47"/>
    <w:bookmarkStart w:id="48" w:name="assessment-3"/>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bookmarkEnd w:id="48"/>
    <w:bookmarkEnd w:id="49"/>
    <w:bookmarkEnd w:id="50"/>
    <w:bookmarkStart w:id="55"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4" w:name="sec:rac.measurements-uncertainty"/>
    <w:p>
      <w:pPr>
        <w:pStyle w:val="berschrift4"/>
      </w:pPr>
      <w:r>
        <w:rPr>
          <w:rStyle w:val="VerbatimChar"/>
        </w:rPr>
        <w:t xml:space="preserve">5.1.</w:t>
      </w:r>
      <w:r>
        <w:t xml:space="preserve"> </w:t>
      </w:r>
      <w:r>
        <w:t xml:space="preserve">Measurement Uncertainty</w:t>
      </w:r>
    </w:p>
    <w:p>
      <w:pPr>
        <w:pStyle w:val="FirstParagraph"/>
      </w:pPr>
      <w:r>
        <w:t xml:space="preserve">Identifier:</w:t>
      </w:r>
      <w:r>
        <w:t xml:space="preserve"> </w:t>
      </w:r>
      <w:r>
        <w:rPr>
          <w:rStyle w:val="VerbatimChar"/>
        </w:rPr>
        <w:t xml:space="preserve">rac.measurements-uncertainty</w:t>
      </w:r>
    </w:p>
    <w:p>
      <w:pPr>
        <w:pStyle w:val="Textkrper"/>
      </w:pPr>
      <w:r>
        <w:t xml:space="preserve">Note: In current practice, users determine fitness for purpose based on knowledge of the lineage of the data, rather than on a specific estimate of measurement uncertainty.</w:t>
      </w:r>
    </w:p>
    <w:bookmarkStart w:id="51" w:name="threshold-requirements-4"/>
    <w:p>
      <w:pPr>
        <w:pStyle w:val="berschrift5"/>
      </w:pPr>
      <w:r>
        <w:t xml:space="preserve">Threshold requirements:</w:t>
      </w:r>
    </w:p>
    <w:p>
      <w:pPr>
        <w:pStyle w:val="FirstParagraph"/>
      </w:pPr>
      <w:r>
        <w:t xml:space="preserve">Not required.</w:t>
      </w:r>
      <w:r>
        <w:t xml:space="preserve"> </w:t>
      </w:r>
    </w:p>
    <w:bookmarkEnd w:id="51"/>
    <w:bookmarkStart w:id="52" w:name="goal-requirements-4"/>
    <w:p>
      <w:pPr>
        <w:pStyle w:val="berschrift5"/>
      </w:pPr>
      <w:r>
        <w:t xml:space="preserve">Goal requirements:</w:t>
      </w:r>
    </w:p>
    <w:p>
      <w:pPr>
        <w:pStyle w:val="FirstParagraph"/>
      </w:pPr>
      <w:r>
        <w:t xml:space="preserve">An estimate of the certainty of the values is provided in measurement units.</w:t>
      </w:r>
    </w:p>
    <w:p>
      <w:pPr>
        <w:pStyle w:val="Textkrper"/>
      </w:pPr>
      <w:r>
        <w:t xml:space="preserve">Notes:</w:t>
      </w:r>
    </w:p>
    <w:p>
      <w:pPr>
        <w:pStyle w:val="Compact"/>
        <w:numPr>
          <w:ilvl w:val="0"/>
          <w:numId w:val="1010"/>
        </w:numPr>
      </w:pPr>
      <w:r>
        <w:t xml:space="preserve">This is a requirement for SI traceability. See also Section </w:t>
      </w:r>
      <w:r>
        <w:t xml:space="preserve">“</w:t>
      </w:r>
      <w:hyperlink w:anchor="sec:meta.metadata-traceability">
        <w:r>
          <w:rPr>
            <w:rStyle w:val="Hyperlink"/>
          </w:rPr>
          <w:t xml:space="preserve">General Metadata: Traceability</w:t>
        </w:r>
      </w:hyperlink>
      <w:r>
        <w:t xml:space="preserve">”</w:t>
      </w:r>
      <w:r>
        <w:t xml:space="preserve">.</w:t>
      </w:r>
    </w:p>
    <w:p>
      <w:pPr>
        <w:pStyle w:val="Compact"/>
        <w:numPr>
          <w:ilvl w:val="0"/>
          <w:numId w:val="1010"/>
        </w:numPr>
      </w:pPr>
      <w:r>
        <w:t xml:space="preserve">Information on measurement uncertainty should be available in the metadata as a single DOI landing page.</w:t>
      </w:r>
    </w:p>
    <w:bookmarkEnd w:id="52"/>
    <w:bookmarkStart w:id="53" w:name="assessment-4"/>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bookmarkEnd w:id="53"/>
    <w:bookmarkEnd w:id="54"/>
    <w:bookmarkEnd w:id="55"/>
    <w:bookmarkStart w:id="60"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59" w:name="sec:gcor.example"/>
    <w:p>
      <w:pPr>
        <w:pStyle w:val="berschrift4"/>
      </w:pPr>
      <w:r>
        <w:rPr>
          <w:rStyle w:val="VerbatimChar"/>
        </w:rPr>
        <w:t xml:space="preserve">6.1.</w:t>
      </w:r>
      <w:r>
        <w:t xml:space="preserve"> </w:t>
      </w:r>
      <w:r>
        <w:t xml:space="preserve">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6" w:name="threshold-requirements-5"/>
    <w:p>
      <w:pPr>
        <w:pStyle w:val="berschrift5"/>
      </w:pPr>
      <w:r>
        <w:t xml:space="preserve">Threshold requirements:</w:t>
      </w:r>
    </w:p>
    <w:p>
      <w:pPr>
        <w:pStyle w:val="FirstParagraph"/>
      </w:pPr>
      <w:r>
        <w:t xml:space="preserve">This is a threshold requirement.</w:t>
      </w:r>
    </w:p>
    <w:bookmarkEnd w:id="56"/>
    <w:bookmarkStart w:id="57"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2"/>
        </w:numPr>
      </w:pPr>
      <w:r>
        <w:t xml:space="preserve">This is a note.</w:t>
      </w:r>
    </w:p>
    <w:bookmarkEnd w:id="57"/>
    <w:bookmarkStart w:id="58" w:name="assessment-5"/>
    <w:p>
      <w:pPr>
        <w:pStyle w:val="berschrift5"/>
      </w:pPr>
      <w:r>
        <w:t xml:space="preserve">Assessment:</w:t>
      </w:r>
    </w:p>
    <w:p>
      <w:pPr>
        <w:pStyle w:val="Compact"/>
        <w:numPr>
          <w:ilvl w:val="0"/>
          <w:numId w:val="1013"/>
        </w:numPr>
      </w:pPr>
      <w:r>
        <w:t xml:space="preserve">Threshold Self-Assessment:</w:t>
      </w:r>
    </w:p>
    <w:p>
      <w:pPr>
        <w:pStyle w:val="Compact"/>
        <w:numPr>
          <w:ilvl w:val="0"/>
          <w:numId w:val="1013"/>
        </w:numPr>
      </w:pPr>
      <w:r>
        <w:t xml:space="preserve">Goal Self-Assessment:</w:t>
      </w:r>
    </w:p>
    <w:p>
      <w:pPr>
        <w:pStyle w:val="Compact"/>
        <w:numPr>
          <w:ilvl w:val="0"/>
          <w:numId w:val="1013"/>
        </w:numPr>
      </w:pPr>
      <w:r>
        <w:t xml:space="preserve">Self-Assessment Explanation/ Justification:</w:t>
      </w:r>
    </w:p>
    <w:p>
      <w:pPr>
        <w:pStyle w:val="Compact"/>
        <w:numPr>
          <w:ilvl w:val="0"/>
          <w:numId w:val="1013"/>
        </w:numPr>
      </w:pPr>
      <w:r>
        <w:t xml:space="preserve">Recommended Requirement Modification:</w:t>
      </w:r>
    </w:p>
    <w:p>
      <w:r>
        <w:br w:type="page"/>
      </w:r>
    </w:p>
    <w:bookmarkEnd w:id="58"/>
    <w:bookmarkEnd w:id="59"/>
    <w:bookmarkEnd w:id="60"/>
    <w:bookmarkEnd w:id="61"/>
    <w:bookmarkStart w:id="68" w:name="summary-self-assessment-table"/>
    <w:p>
      <w:pPr>
        <w:pStyle w:val="berschrift2"/>
      </w:pPr>
      <w:r>
        <w:t xml:space="preserve">Summary Self-Assessment Table</w:t>
      </w:r>
    </w:p>
    <w:bookmarkStart w:id="62"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2"/>
    <w:bookmarkStart w:id="63"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3"/>
    <w:bookmarkStart w:id="64"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4"/>
    <w:bookmarkStart w:id="65"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5"/>
    <w:bookmarkStart w:id="66"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6"/>
    <w:bookmarkStart w:id="67"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67"/>
    <w:bookmarkEnd w:id="68"/>
    <w:bookmarkStart w:id="73" w:name="introduction"/>
    <w:p>
      <w:pPr>
        <w:pStyle w:val="berschrift2"/>
      </w:pPr>
      <w:r>
        <w:t xml:space="preserve">Introduction</w:t>
      </w:r>
    </w:p>
    <w:p>
      <w:pPr>
        <w:pStyle w:val="FirstParagraph"/>
      </w:pPr>
      <w:r>
        <w:t xml:space="preserve">This section aims to provide background and specific information on the processing steps that can be</w:t>
      </w:r>
      <w:r>
        <w:t xml:space="preserve"> </w:t>
      </w:r>
      <w:r>
        <w:t xml:space="preserve">used to achieve analysis ready data for a specific and well-developed Product Family Specification.</w:t>
      </w:r>
      <w:r>
        <w:t xml:space="preserve"> </w:t>
      </w:r>
      <w:r>
        <w:t xml:space="preserve">This Guidance material does not replace or override the specifications.</w:t>
      </w:r>
    </w:p>
    <w:bookmarkStart w:id="69" w:name="sec:intro-what-are-ceos-ard-products"/>
    <w:p>
      <w:pPr>
        <w:pStyle w:val="berschrift3"/>
      </w:pPr>
      <w:r>
        <w:t xml:space="preserve">What is CEOS Analysis Ready Data?</w:t>
      </w:r>
    </w:p>
    <w:p>
      <w:pPr>
        <w:pStyle w:val="FirstParagraph"/>
      </w:pPr>
      <w:r>
        <w:t xml:space="preserve">CEOS-ARD are products that have been processed to a minimum set of requirements and organized into a form that allows immediate analysis with a minimum of additional user effort.</w:t>
      </w:r>
      <w:r>
        <w:t xml:space="preserve"> </w:t>
      </w:r>
      <w:r>
        <w:t xml:space="preserve">In general, these products would be resampled onto a common geometric grid (for a given product) and would provide baseline data for further interoperability both through time and with other datasets.</w:t>
      </w:r>
    </w:p>
    <w:p>
      <w:pPr>
        <w:pStyle w:val="Textkrper"/>
      </w:pPr>
      <w:r>
        <w:t xml:space="preserve">CEOS-ARD products are intended to be flexible and accessible products suitable for a wide range of users for a wide variety of applications, including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69"/>
    <w:bookmarkStart w:id="71"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14"/>
        </w:numPr>
      </w:pPr>
      <w:r>
        <w:t xml:space="preserve">that product has been assessed as meeting CEOS-ARD requirements by the agency responsible for production and distribution of the product, and</w:t>
      </w:r>
    </w:p>
    <w:p>
      <w:pPr>
        <w:pStyle w:val="Compact"/>
        <w:numPr>
          <w:ilvl w:val="0"/>
          <w:numId w:val="1014"/>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70">
        <w:r>
          <w:rPr>
            <w:rStyle w:val="Hyperlink"/>
          </w:rPr>
          <w:t xml:space="preserve">CEOS-ARD Governance Framework</w:t>
        </w:r>
      </w:hyperlink>
      <w:r>
        <w:t xml:space="preserve">.</w:t>
      </w:r>
    </w:p>
    <w:p>
      <w:pPr>
        <w:pStyle w:val="Textkrper"/>
      </w:pPr>
      <w:r>
        <w:t xml:space="preserve">A product can continue to use CEOS-ARD branding as long as its generation and distribution remain consistent with the peer-reviewed assessment.</w:t>
      </w:r>
    </w:p>
    <w:bookmarkEnd w:id="71"/>
    <w:bookmarkStart w:id="72"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72"/>
    <w:bookmarkEnd w:id="73"/>
    <w:bookmarkStart w:id="78" w:name="references"/>
    <w:p>
      <w:pPr>
        <w:pStyle w:val="berschrift2"/>
      </w:pPr>
      <w:r>
        <w:t xml:space="preserve">References</w:t>
      </w:r>
    </w:p>
    <w:bookmarkStart w:id="77" w:name="refs"/>
    <w:bookmarkStart w:id="74"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4"/>
    <w:bookmarkStart w:id="76" w:name="ref-li2012"/>
    <w:p>
      <w:pPr>
        <w:pStyle w:val="Literaturverzeichnis"/>
      </w:pPr>
      <w:r>
        <w:t xml:space="preserve">Li, Fuqin, David L. B. Jupp, Medhavy Thankappan, Leo Lymburner, Norman Mueller, Adam Lewis, and Alex Held. 2012.</w:t>
      </w:r>
      <w:r>
        <w:t xml:space="preserve"> </w:t>
      </w:r>
      <w:r>
        <w:t xml:space="preserve">“A Physics-Based Atmospheric and BRDF Correction for Landsat Data over Mountainous Terrain.”</w:t>
      </w:r>
      <w:r>
        <w:t xml:space="preserve"> </w:t>
      </w:r>
      <w:r>
        <w:rPr>
          <w:i/>
          <w:iCs/>
        </w:rPr>
        <w:t xml:space="preserve">Remote Sensing of Environment</w:t>
      </w:r>
      <w:r>
        <w:t xml:space="preserve"> </w:t>
      </w:r>
      <w:r>
        <w:t xml:space="preserve">124: 756–70. https://doi.org/</w:t>
      </w:r>
      <w:hyperlink r:id="rId75">
        <w:r>
          <w:rPr>
            <w:rStyle w:val="Hyperlink"/>
          </w:rPr>
          <w:t xml:space="preserve">https://doi.org/10.1016/j.rse.2012.06.018</w:t>
        </w:r>
      </w:hyperlink>
      <w:r>
        <w:t xml:space="preserve">.</w:t>
      </w:r>
    </w:p>
    <w:bookmarkEnd w:id="76"/>
    <w:bookmarkEnd w:id="77"/>
    <w:bookmarkEnd w:id="78"/>
    <w:bookmarkEnd w:id="79"/>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70" Target="https://ceos.org/ard/files/CEOS_ARD_Governance_Framework_18-October-2021.pdf" TargetMode="External" /><Relationship Type="http://schemas.openxmlformats.org/officeDocument/2006/relationships/hyperlink" Id="rId75" Target="https://doi.org/10.1016/j.rse.2012.06.018" TargetMode="External" /><Relationship Type="http://schemas.openxmlformats.org/officeDocument/2006/relationships/hyperlink" Id="rId23"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70" Target="https://ceos.org/ard/files/CEOS_ARD_Governance_Framework_18-October-2021.pdf" TargetMode="External" /><Relationship Type="http://schemas.openxmlformats.org/officeDocument/2006/relationships/hyperlink" Id="rId75" Target="https://doi.org/10.1016/j.rse.2012.06.018" TargetMode="External" /><Relationship Type="http://schemas.openxmlformats.org/officeDocument/2006/relationships/hyperlink" Id="rId23"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Surface Reflectance - Version 5.1-draft</dc:title>
  <dc:creator/>
  <dc:language>en</dc:language>
  <cp:keywords/>
  <dcterms:created xsi:type="dcterms:W3CDTF">2025-07-28T15:33:05Z</dcterms:created>
  <dcterms:modified xsi:type="dcterms:W3CDTF">2025-07-28T15:33:05Z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