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99"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4"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3"/>
    <w:bookmarkEnd w:id="154"/>
    <w:bookmarkEnd w:id="155"/>
    <w:bookmarkStart w:id="19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59"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8"/>
    <w:bookmarkEnd w:id="159"/>
    <w:bookmarkStart w:id="163"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2"/>
    <w:bookmarkEnd w:id="163"/>
    <w:bookmarkStart w:id="167"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6"/>
    <w:bookmarkEnd w:id="167"/>
    <w:bookmarkStart w:id="171"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69"/>
    <w:bookmarkStart w:id="170"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0"/>
    <w:bookmarkEnd w:id="171"/>
    <w:bookmarkStart w:id="175"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4"/>
    <w:bookmarkEnd w:id="175"/>
    <w:bookmarkStart w:id="179"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8"/>
    <w:bookmarkEnd w:id="179"/>
    <w:bookmarkStart w:id="183"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1"/>
    <w:bookmarkStart w:id="182"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2"/>
    <w:bookmarkEnd w:id="183"/>
    <w:bookmarkStart w:id="187"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5"/>
    <w:bookmarkStart w:id="186"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6"/>
    <w:bookmarkEnd w:id="187"/>
    <w:bookmarkStart w:id="191"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0"/>
    <w:bookmarkEnd w:id="191"/>
    <w:bookmarkStart w:id="195"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3"/>
    <w:bookmarkStart w:id="194"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4"/>
    <w:bookmarkEnd w:id="195"/>
    <w:bookmarkEnd w:id="196"/>
    <w:bookmarkStart w:id="225"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0"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All files are provided using cloud-optimized file formats.</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rcm.measurements-backscatter-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rcm.measurements-backscatter-nrb</w:t>
      </w:r>
    </w:p>
    <w:bookmarkStart w:id="201"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0"/>
        </w:numPr>
      </w:pPr>
      <w:r>
        <w:t xml:space="preserve">Measurement Type (Gamma-Nought)</w:t>
      </w:r>
    </w:p>
    <w:p>
      <w:pPr>
        <w:pStyle w:val="Compact"/>
        <w:numPr>
          <w:ilvl w:val="0"/>
          <w:numId w:val="1070"/>
        </w:numPr>
      </w:pPr>
      <w:r>
        <w:t xml:space="preserve">Backscatter Expression Convention (linear amplitude, linear power*)</w:t>
      </w:r>
    </w:p>
    <w:p>
      <w:pPr>
        <w:pStyle w:val="Compact"/>
        <w:numPr>
          <w:ilvl w:val="0"/>
          <w:numId w:val="1070"/>
        </w:numPr>
      </w:pPr>
      <w:r>
        <w:t xml:space="preserve">Polarization (HH, HV, VV, VH)</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p>
      <w:pPr>
        <w:pStyle w:val="FirstParagraph"/>
      </w:pPr>
      <w:r>
        <w:t xml:space="preserve">Notes:</w:t>
      </w:r>
    </w:p>
    <w:p>
      <w:pPr>
        <w:pStyle w:val="Compact"/>
        <w:numPr>
          <w:ilvl w:val="0"/>
          <w:numId w:val="1071"/>
        </w:numPr>
      </w:pPr>
      <w:r>
        <w:t xml:space="preserve">Transformation to the logarithm decibel scale is not required or desired as this step can be easily completed by the user if necessary.</w:t>
      </w:r>
    </w:p>
    <w:bookmarkEnd w:id="201"/>
    <w:bookmarkStart w:id="202" w:name="goal-requirements-41"/>
    <w:p>
      <w:pPr>
        <w:pStyle w:val="berschrift5"/>
      </w:pPr>
      <w:r>
        <w:t xml:space="preserve">Goal requirements:</w:t>
      </w:r>
    </w:p>
    <w:p>
      <w:pPr>
        <w:pStyle w:val="FirstParagraph"/>
      </w:pPr>
      <w:r>
        <w:t xml:space="preserve">As threshold.</w:t>
      </w:r>
      <w:r>
        <w:t xml:space="preserve"> </w:t>
      </w:r>
    </w:p>
    <w:bookmarkEnd w:id="202"/>
    <w:bookmarkStart w:id="203" w:name="assessment-41"/>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3"/>
    <w:bookmarkEnd w:id="204"/>
    <w:bookmarkStart w:id="208"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5"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5"/>
    <w:bookmarkStart w:id="206" w:name="goal-requirements-42"/>
    <w:p>
      <w:pPr>
        <w:pStyle w:val="berschrift5"/>
      </w:pPr>
      <w:r>
        <w:t xml:space="preserve">Goal requirements:</w:t>
      </w:r>
    </w:p>
    <w:p>
      <w:pPr>
        <w:pStyle w:val="FirstParagraph"/>
      </w:pPr>
      <w:r>
        <w:t xml:space="preserve">As threshold, but use of float32.</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09"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4"/>
        </w:numPr>
      </w:pPr>
      <w:r>
        <w:t xml:space="preserve">Thermal noise removal and image border noise removal to remove overall scene noise and scene edge artefacts, respectively.</w:t>
      </w:r>
    </w:p>
    <w:bookmarkEnd w:id="209"/>
    <w:bookmarkStart w:id="210" w:name="goal-requirements-43"/>
    <w:p>
      <w:pPr>
        <w:pStyle w:val="berschrift5"/>
      </w:pPr>
      <w:r>
        <w:t xml:space="preserve">Goal requirements:</w:t>
      </w:r>
    </w:p>
    <w:p>
      <w:pPr>
        <w:pStyle w:val="FirstParagraph"/>
      </w:pPr>
      <w:r>
        <w:t xml:space="preserve">As threshold.</w:t>
      </w:r>
      <w:r>
        <w:t xml:space="preserve"> </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Xb88bc7c96e2b484b86bc3560a2c054b7bf2b073"/>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13"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6"/>
        </w:numPr>
      </w:pPr>
      <w:r>
        <w:t xml:space="preserve">a citable peer-reviewed algorithm</w:t>
      </w:r>
    </w:p>
    <w:p>
      <w:pPr>
        <w:pStyle w:val="Compact"/>
        <w:numPr>
          <w:ilvl w:val="0"/>
          <w:numId w:val="1076"/>
        </w:numPr>
      </w:pPr>
      <w:r>
        <w:t xml:space="preserve">technical documentation regarding the algorithm used to generate the backscatter estimates is expressed as URLs or DOIs</w:t>
      </w:r>
    </w:p>
    <w:p>
      <w:pPr>
        <w:pStyle w:val="Compact"/>
        <w:numPr>
          <w:ilvl w:val="0"/>
          <w:numId w:val="1076"/>
        </w:numPr>
      </w:pPr>
      <w:r>
        <w:t xml:space="preserve">the sources of auxiliary data used to make corrections</w:t>
      </w:r>
    </w:p>
    <w:p>
      <w:pPr>
        <w:pStyle w:val="FirstParagraph"/>
      </w:pPr>
      <w:r>
        <w:t xml:space="preserve">Notes:</w:t>
      </w:r>
    </w:p>
    <w:p>
      <w:pPr>
        <w:pStyle w:val="Compact"/>
        <w:numPr>
          <w:ilvl w:val="0"/>
          <w:numId w:val="1077"/>
        </w:numPr>
      </w:pPr>
      <w:r>
        <w:t xml:space="preserve">Examples of technical documentation include an Algorithm, Theoretical Basis Document, product user guide, etc.</w:t>
      </w:r>
    </w:p>
    <w:bookmarkEnd w:id="213"/>
    <w:bookmarkStart w:id="214" w:name="goal-requirements-44"/>
    <w:p>
      <w:pPr>
        <w:pStyle w:val="berschrift5"/>
      </w:pPr>
      <w:r>
        <w:t xml:space="preserve">Goal requirements:</w:t>
      </w:r>
    </w:p>
    <w:p>
      <w:pPr>
        <w:pStyle w:val="FirstParagraph"/>
      </w:pPr>
      <w:r>
        <w:t xml:space="preserve">As threshold.</w:t>
      </w:r>
      <w:r>
        <w:t xml:space="preserve"> </w:t>
      </w:r>
    </w:p>
    <w:bookmarkEnd w:id="214"/>
    <w:bookmarkStart w:id="215"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5"/>
    <w:bookmarkEnd w:id="216"/>
    <w:bookmarkStart w:id="220"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8"/>
    <w:bookmarkStart w:id="219" w:name="assessment-45"/>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9"/>
    <w:bookmarkEnd w:id="220"/>
    <w:bookmarkStart w:id="224" w:name="sec:rcm.measurements-flattened-phase"/>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21" w:name="threshold-requirements-46"/>
    <w:p>
      <w:pPr>
        <w:pStyle w:val="berschrift5"/>
      </w:pPr>
      <w:r>
        <w:t xml:space="preserve">Threshold requirements:</w:t>
      </w:r>
    </w:p>
    <w:p>
      <w:pPr>
        <w:pStyle w:val="FirstParagraph"/>
      </w:pPr>
      <w:r>
        <w:t xml:space="preserve">Not required.</w:t>
      </w:r>
      <w:r>
        <w:t xml:space="preserve"> </w:t>
      </w:r>
    </w:p>
    <w:bookmarkEnd w:id="221"/>
    <w:bookmarkStart w:id="222"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0"/>
        </w:numPr>
      </w:pPr>
      <w:r>
        <w:t xml:space="preserve">Measurement Type (Flattened Phase)</w:t>
      </w:r>
    </w:p>
    <w:p>
      <w:pPr>
        <w:pStyle w:val="Compact"/>
        <w:numPr>
          <w:ilvl w:val="0"/>
          <w:numId w:val="1080"/>
        </w:numPr>
      </w:pPr>
      <w:r>
        <w:t xml:space="preserve">Reference Polarization (HH/HV/VV/VH)</w:t>
      </w:r>
    </w:p>
    <w:p>
      <w:pPr>
        <w:pStyle w:val="Compact"/>
        <w:numPr>
          <w:ilvl w:val="0"/>
          <w:numId w:val="1080"/>
        </w:numPr>
      </w:pPr>
      <w:r>
        <w:t xml:space="preserve">Data Format (GeoTIFF, HDF5, NetCDF, …)</w:t>
      </w:r>
    </w:p>
    <w:p>
      <w:pPr>
        <w:pStyle w:val="Compact"/>
        <w:numPr>
          <w:ilvl w:val="0"/>
          <w:numId w:val="1080"/>
        </w:numPr>
      </w:pPr>
      <w:r>
        <w:t xml:space="preserve">Data Type (Int,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In case of polarimetric data, indicate the reference polarization.</w:t>
      </w:r>
    </w:p>
    <w:bookmarkEnd w:id="222"/>
    <w:bookmarkStart w:id="223"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3"/>
    <w:bookmarkEnd w:id="224"/>
    <w:bookmarkEnd w:id="225"/>
    <w:bookmarkStart w:id="246"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9"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6" w:name="threshold-requirements-47"/>
    <w:p>
      <w:pPr>
        <w:pStyle w:val="berschrift5"/>
      </w:pPr>
      <w:r>
        <w:t xml:space="preserve">Threshold requirements:</w:t>
      </w:r>
    </w:p>
    <w:p>
      <w:pPr>
        <w:pStyle w:val="FirstParagraph"/>
      </w:pPr>
      <w:r>
        <w:t xml:space="preserve">Not required.</w:t>
      </w:r>
      <w:r>
        <w:t xml:space="preserve"> </w:t>
      </w:r>
    </w:p>
    <w:bookmarkEnd w:id="226"/>
    <w:bookmarkStart w:id="227" w:name="goal-requirements-47"/>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7"/>
    <w:bookmarkStart w:id="228" w:name="assessment-47"/>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8"/>
    <w:bookmarkEnd w:id="229"/>
    <w:bookmarkStart w:id="233"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0" w:name="threshold-requirements-48"/>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0"/>
    <w:bookmarkStart w:id="231" w:name="goal-requirements-48"/>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1"/>
    <w:bookmarkStart w:id="232" w:name="assessment-48"/>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2"/>
    <w:bookmarkEnd w:id="233"/>
    <w:bookmarkStart w:id="237"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4"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4"/>
    <w:bookmarkStart w:id="235"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5"/>
    <w:bookmarkStart w:id="236"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6"/>
    <w:bookmarkEnd w:id="237"/>
    <w:bookmarkStart w:id="241"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9"/>
    <w:bookmarkStart w:id="240" w:name="assessment-50"/>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0"/>
    <w:bookmarkEnd w:id="241"/>
    <w:bookmarkStart w:id="245"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42"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2"/>
    <w:bookmarkStart w:id="243"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3"/>
    <w:bookmarkStart w:id="244" w:name="assessment-51"/>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4"/>
    <w:bookmarkEnd w:id="245"/>
    <w:bookmarkEnd w:id="246"/>
    <w:bookmarkEnd w:id="247"/>
    <w:bookmarkStart w:id="254" w:name="summary-self-assessment-table"/>
    <w:p>
      <w:pPr>
        <w:pStyle w:val="berschrift2"/>
      </w:pPr>
      <w:r>
        <w:t xml:space="preserve">Summary Self-Assessment Table</w:t>
      </w:r>
    </w:p>
    <w:bookmarkStart w:id="24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8"/>
    <w:bookmarkStart w:id="249"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9"/>
    <w:bookmarkStart w:id="250"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0"/>
    <w:bookmarkStart w:id="25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1"/>
    <w:bookmarkStart w:id="252"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2"/>
    <w:bookmarkStart w:id="253"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3"/>
    <w:bookmarkEnd w:id="254"/>
    <w:bookmarkStart w:id="25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5"/>
    <w:bookmarkStart w:id="25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7"/>
    <w:bookmarkStart w:id="25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8"/>
    <w:bookmarkEnd w:id="259"/>
    <w:bookmarkStart w:id="276" w:name="references"/>
    <w:p>
      <w:pPr>
        <w:pStyle w:val="berschrift2"/>
      </w:pPr>
      <w:r>
        <w:t xml:space="preserve">References</w:t>
      </w:r>
    </w:p>
    <w:bookmarkStart w:id="275" w:name="refs"/>
    <w:bookmarkStart w:id="26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0"/>
    <w:bookmarkStart w:id="26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1">
        <w:r>
          <w:rPr>
            <w:rStyle w:val="Hyperlink"/>
          </w:rPr>
          <w:t xml:space="preserve">https://doi.org/10.1109/TGRS.2008.2002881</w:t>
        </w:r>
      </w:hyperlink>
      <w:r>
        <w:t xml:space="preserve">.</w:t>
      </w:r>
    </w:p>
    <w:bookmarkEnd w:id="262"/>
    <w:bookmarkStart w:id="26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3">
        <w:r>
          <w:rPr>
            <w:rStyle w:val="Hyperlink"/>
          </w:rPr>
          <w:t xml:space="preserve">https://doi.org/10.1029/2011JE003986</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1">
        <w:r>
          <w:rPr>
            <w:rStyle w:val="Hyperlink"/>
          </w:rPr>
          <w:t xml:space="preserve">https://doi.org/10.1109/LGRS.2017.2753580</w:t>
        </w:r>
      </w:hyperlink>
      <w:r>
        <w:t xml:space="preserve">.</w:t>
      </w:r>
    </w:p>
    <w:bookmarkEnd w:id="272"/>
    <w:bookmarkStart w:id="274"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3">
        <w:r>
          <w:rPr>
            <w:rStyle w:val="Hyperlink"/>
          </w:rPr>
          <w:t xml:space="preserve">https://doi.org/10.1109/TGRS.2010.2051333</w:t>
        </w:r>
      </w:hyperlink>
      <w:r>
        <w:t xml:space="preserve">.</w:t>
      </w:r>
    </w:p>
    <w:bookmarkEnd w:id="274"/>
    <w:bookmarkEnd w:id="275"/>
    <w:p>
      <w:r>
        <w:br w:type="page"/>
      </w:r>
    </w:p>
    <w:bookmarkEnd w:id="276"/>
    <w:bookmarkStart w:id="298" w:name="annexes"/>
    <w:p>
      <w:pPr>
        <w:pStyle w:val="berschrift2"/>
      </w:pPr>
      <w:r>
        <w:t xml:space="preserve">Annexes</w:t>
      </w:r>
    </w:p>
    <w:bookmarkStart w:id="278"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7"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7"/>
    <w:bookmarkEnd w:id="278"/>
    <w:bookmarkStart w:id="290"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79"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79"/>
    </w:p>
    <w:p>
      <w:pPr>
        <w:pStyle w:val="FirstParagraph"/>
      </w:pPr>
      <w:r>
        <w:t xml:space="preserve">Where</w:t>
      </w:r>
    </w:p>
    <w:p>
      <w:pPr>
        <w:pStyle w:val="Textkrper"/>
      </w:pPr>
      <w:bookmarkStart w:id="280"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0"/>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1"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1"/>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2"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2"/>
    </w:p>
    <w:p>
      <w:pPr>
        <w:pStyle w:val="FirstParagraph"/>
      </w:pPr>
      <w:bookmarkStart w:id="283"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3"/>
    </w:p>
    <w:p>
      <w:pPr>
        <w:pStyle w:val="FirstParagraph"/>
      </w:pPr>
      <w:r>
        <w:t xml:space="preserve">The differential phase is</w:t>
      </w:r>
    </w:p>
    <w:p>
      <w:pPr>
        <w:pStyle w:val="Textkrper"/>
      </w:pPr>
      <w:bookmarkStart w:id="284"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4"/>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5"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5"/>
    </w:p>
    <w:p>
      <w:pPr>
        <w:pStyle w:val="FirstParagraph"/>
      </w:pPr>
      <w:bookmarkStart w:id="286"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6"/>
    </w:p>
    <w:p>
      <w:pPr>
        <w:pStyle w:val="FirstParagraph"/>
      </w:pPr>
      <w:bookmarkStart w:id="287"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7"/>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8"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8"/>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89"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89"/>
    </w:p>
    <w:bookmarkEnd w:id="290"/>
    <w:bookmarkStart w:id="297"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1"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1"/>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2"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2"/>
    </w:p>
    <w:p>
      <w:pPr>
        <w:pStyle w:val="FirstParagraph"/>
      </w:pPr>
      <w:bookmarkStart w:id="293"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3"/>
    </w:p>
    <w:p>
      <w:pPr>
        <w:pStyle w:val="FirstParagraph"/>
      </w:pPr>
      <w:bookmarkStart w:id="294"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4"/>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5"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5"/>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6"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6"/>
    </w:p>
    <w:bookmarkEnd w:id="297"/>
    <w:bookmarkEnd w:id="298"/>
    <w:bookmarkEnd w:id="29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1.2-draft</dc:title>
  <dc:creator/>
  <dc:language>en</dc:language>
  <cp:keywords/>
  <dcterms:created xsi:type="dcterms:W3CDTF">2026-01-26T16:25:37Z</dcterms:created>
  <dcterms:modified xsi:type="dcterms:W3CDTF">2026-01-26T16:25:37Z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