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0"/>
    <w:bookmarkStart w:id="1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2"/>
        </w:numPr>
      </w:pPr>
      <w:hyperlink r:id="rId32">
        <w:r>
          <w:rPr>
            <w:rStyle w:val="Hyperlink"/>
          </w:rPr>
          <w:t xml:space="preserve">Policy on measurement traceability</w:t>
        </w:r>
      </w:hyperlink>
    </w:p>
    <w:p>
      <w:pPr>
        <w:pStyle w:val="Compact"/>
        <w:numPr>
          <w:ilvl w:val="0"/>
          <w:numId w:val="1002"/>
        </w:numPr>
      </w:pPr>
      <w:hyperlink r:id="rId33">
        <w:r>
          <w:rPr>
            <w:rStyle w:val="Hyperlink"/>
          </w:rPr>
          <w:t xml:space="preserve">Guidance on measurement traceability</w:t>
        </w:r>
      </w:hyperlink>
    </w:p>
    <w:p>
      <w:pPr>
        <w:pStyle w:val="FirstParagraph"/>
      </w:pPr>
      <w:r>
        <w:t xml:space="preserve">Notes:</w:t>
      </w:r>
    </w:p>
    <w:p>
      <w:pPr>
        <w:pStyle w:val="Compact"/>
        <w:numPr>
          <w:ilvl w:val="0"/>
          <w:numId w:val="1003"/>
        </w:numPr>
      </w:pPr>
      <w:r>
        <w:t xml:space="preserve">SI Traceability requires an estimate of measurement uncertainty.</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tada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meta.metadata-time-st</w:t>
      </w:r>
    </w:p>
    <w:bookmarkStart w:id="41"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metada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meta.metadata-geo-area-st</w:t>
      </w:r>
    </w:p>
    <w:bookmarkStart w:id="45"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etadata-map-projection-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meta.metadata-map-projection-st</w:t>
      </w:r>
    </w:p>
    <w:bookmarkStart w:id="53" w:name="threshold-requirements-5"/>
    <w:p>
      <w:pPr>
        <w:pStyle w:val="berschrift5"/>
      </w:pPr>
      <w:r>
        <w:t xml:space="preserve">Threshold requirements:</w:t>
      </w:r>
    </w:p>
    <w:p>
      <w:pPr>
        <w:pStyle w:val="FirstParagraph"/>
      </w:pPr>
      <w:r>
        <w:t xml:space="preserve">Not required.</w:t>
      </w:r>
      <w:r>
        <w:t xml:space="preserve"> </w:t>
      </w:r>
    </w:p>
    <w:bookmarkEnd w:id="53"/>
    <w:bookmarkStart w:id="54"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X9af8860f8ceb40b85e2786dc491d5a3de5233f3"/>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meta.metadata-geometric-correction-methods-st</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metadata-geometric-accuracy-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meta.metadata-geometric-accuracy-st</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X09155ea9db74a495f8c8a9e81a001faf73632cb"/>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meta.metadata-radiometric-accuracy-st</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8"/>
        </w:numPr>
      </w:pPr>
      <w:r>
        <w:t xml:space="preserve">For example, this may come from comparison with routine and rigorously collected in situ measurements.</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etadata-algorithm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w:t>
      </w:r>
    </w:p>
    <w:bookmarkStart w:id="81"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3"/>
    <w:bookmarkEnd w:id="84"/>
    <w:bookmarkStart w:id="88"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Xd1b5d08d13659194c545376e65ab9a7ca35d461"/>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meta.metadata-processing-chain-prov-st</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0"/>
    <w:bookmarkStart w:id="91"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metadata-data-quality-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meta.metadata-data-quality-st</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8"/>
    <w:bookmarkStart w:id="99"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99"/>
    <w:bookmarkEnd w:id="100"/>
    <w:bookmarkEnd w:id="101"/>
    <w:bookmarkStart w:id="13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5"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4"/>
    <w:bookmarkEnd w:id="105"/>
    <w:bookmarkStart w:id="109"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8"/>
    <w:bookmarkEnd w:id="109"/>
    <w:bookmarkStart w:id="113"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0"/>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6"/>
    <w:bookmarkEnd w:id="117"/>
    <w:bookmarkStart w:id="121"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xl.per-pixe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7"/>
    <w:bookmarkStart w:id="128" w:name="assessment-23"/>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8"/>
    <w:bookmarkEnd w:id="129"/>
    <w:bookmarkStart w:id="133" w:name="sec:pxl.per-pixel-view-angles-solar"/>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30" w:name="threshold-requirements-24"/>
    <w:p>
      <w:pPr>
        <w:pStyle w:val="berschrift5"/>
      </w:pPr>
      <w:r>
        <w:t xml:space="preserve">Threshold requirements:</w:t>
      </w:r>
    </w:p>
    <w:p>
      <w:pPr>
        <w:pStyle w:val="FirstParagraph"/>
      </w:pPr>
      <w:r>
        <w:t xml:space="preserve">Provide average solar and sensor viewing azimuth and zenith angles.</w:t>
      </w:r>
    </w:p>
    <w:bookmarkEnd w:id="130"/>
    <w:bookmarkStart w:id="131" w:name="goal-requirements-24"/>
    <w:p>
      <w:pPr>
        <w:pStyle w:val="berschrift5"/>
      </w:pPr>
      <w:r>
        <w:t xml:space="preserve">Goal requirements:</w:t>
      </w:r>
    </w:p>
    <w:p>
      <w:pPr>
        <w:pStyle w:val="FirstParagraph"/>
      </w:pPr>
      <w:r>
        <w:t xml:space="preserve">Provide per-pixel solar and sensor viewing azimuth and zenith angles.</w:t>
      </w:r>
    </w:p>
    <w:bookmarkEnd w:id="131"/>
    <w:bookmarkStart w:id="132" w:name="assessment-24"/>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32"/>
    <w:bookmarkEnd w:id="133"/>
    <w:bookmarkEnd w:id="134"/>
    <w:bookmarkStart w:id="147"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38" w:name="sec:rac.measurements-measurement-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rac.measurements-measurement-st</w:t>
      </w:r>
    </w:p>
    <w:bookmarkStart w:id="135"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bookmarkEnd w:id="135"/>
    <w:bookmarkStart w:id="136"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metadata-traceability-st">
        <w:r>
          <w:rPr>
            <w:rStyle w:val="Hyperlink"/>
          </w:rPr>
          <w:t xml:space="preserve">General Metadata: Traceability</w:t>
        </w:r>
      </w:hyperlink>
      <w:r>
        <w:t xml:space="preserve">”</w:t>
      </w:r>
      <w:r>
        <w:t xml:space="preserve">).</w:t>
      </w:r>
    </w:p>
    <w:bookmarkEnd w:id="136"/>
    <w:bookmarkStart w:id="137" w:name="assessment-25"/>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7"/>
    <w:bookmarkEnd w:id="138"/>
    <w:bookmarkStart w:id="142" w:name="X7dbda80ff53c63fe2dba278b435c8bedc7e1064"/>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rac.corrections-atmosphere-emissivity</w:t>
      </w:r>
    </w:p>
    <w:bookmarkStart w:id="139"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38"/>
        </w:numPr>
      </w:pPr>
      <w:r>
        <w:t xml:space="preserve">The metadata references (may be through a single DOI landing page) a citable peer-reviewed algorithm.</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1"/>
    <w:bookmarkEnd w:id="142"/>
    <w:bookmarkStart w:id="146" w:name="sec:rac.measurements-uncertainty-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bookmarkStart w:id="143" w:name="threshold-requirements-27"/>
    <w:p>
      <w:pPr>
        <w:pStyle w:val="berschrift5"/>
      </w:pPr>
      <w:r>
        <w:t xml:space="preserve">Threshold requirements:</w:t>
      </w:r>
    </w:p>
    <w:p>
      <w:pPr>
        <w:pStyle w:val="FirstParagraph"/>
      </w:pPr>
      <w:r>
        <w:t xml:space="preserve">Not required.</w:t>
      </w:r>
      <w:r>
        <w:t xml:space="preserve"> </w:t>
      </w:r>
    </w:p>
    <w:bookmarkEnd w:id="143"/>
    <w:bookmarkStart w:id="144"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0"/>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5"/>
    <w:bookmarkEnd w:id="146"/>
    <w:bookmarkEnd w:id="147"/>
    <w:bookmarkStart w:id="152"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1" w:name="sec:gcor.corrections-geometri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gcor.corrections-geometric-st</w:t>
      </w:r>
    </w:p>
    <w:bookmarkStart w:id="148"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2"/>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8"/>
    <w:bookmarkStart w:id="149"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3"/>
        </w:numPr>
      </w:pPr>
      <w:r>
        <w:t xml:space="preserve">This requirement is intended to enable interoperability between imagery from different platforms that meet this level of correction, and with non-image spatial data such as GIS layers and terrain models.</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br w:type="page"/>
      </w:r>
    </w:p>
    <w:bookmarkEnd w:id="150"/>
    <w:bookmarkEnd w:id="151"/>
    <w:bookmarkEnd w:id="152"/>
    <w:bookmarkEnd w:id="153"/>
    <w:bookmarkStart w:id="158" w:name="summary-self-assessment-table"/>
    <w:p>
      <w:pPr>
        <w:pStyle w:val="berschrift2"/>
      </w:pPr>
      <w:r>
        <w:t xml:space="preserve">Summary Self-Assessment Table</w:t>
      </w:r>
    </w:p>
    <w:bookmarkStart w:id="1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meta.metadata-geometric-correction-methods-st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4"/>
    <w:bookmarkStart w:id="1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bl>
    <w:bookmarkEnd w:id="155"/>
    <w:bookmarkStart w:id="15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rac.corrections-atmosphere-emissivity</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6"/>
    <w:bookmarkStart w:id="15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gcor.corrections-geometric-st</w:t>
            </w:r>
          </w:p>
        </w:tc>
        <w:tc>
          <w:tcPr/>
          <w:p>
            <w:pPr>
              <w:pStyle w:val="Compact"/>
            </w:pPr>
            <w:r>
              <w:t xml:space="preserve">Geometric Correction</w:t>
            </w:r>
          </w:p>
        </w:tc>
        <w:tc>
          <w:tcPr/>
          <w:p>
            <w:pPr>
              <w:pStyle w:val="Compact"/>
            </w:pPr>
          </w:p>
        </w:tc>
        <w:tc>
          <w:tcPr/>
          <w:p>
            <w:pPr>
              <w:pStyle w:val="Compact"/>
            </w:pPr>
          </w:p>
        </w:tc>
      </w:tr>
    </w:tbl>
    <w:p>
      <w:r>
        <w:br w:type="page"/>
      </w:r>
    </w:p>
    <w:bookmarkEnd w:id="157"/>
    <w:bookmarkEnd w:id="158"/>
    <w:bookmarkStart w:id="1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59"/>
    <w:bookmarkStart w:id="1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5"/>
        </w:numPr>
      </w:pPr>
      <w:r>
        <w:t xml:space="preserve">that product has been assessed as meeting CEOS-ARD requirements by the agency responsible for production and distribution of the product, and</w:t>
      </w:r>
    </w:p>
    <w:p>
      <w:pPr>
        <w:pStyle w:val="Compact"/>
        <w:numPr>
          <w:ilvl w:val="0"/>
          <w:numId w:val="1045"/>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1"/>
    <w:bookmarkStart w:id="1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2"/>
    <w:bookmarkEnd w:id="163"/>
    <w:bookmarkStart w:id="170" w:name="references"/>
    <w:p>
      <w:pPr>
        <w:pStyle w:val="berschrift2"/>
      </w:pPr>
      <w:r>
        <w:t xml:space="preserve">References</w:t>
      </w:r>
    </w:p>
    <w:bookmarkStart w:id="169" w:name="refs"/>
    <w:bookmarkStart w:id="165"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4">
        <w:r>
          <w:rPr>
            <w:rStyle w:val="Hyperlink"/>
          </w:rPr>
          <w:t xml:space="preserve">https://doi.org/10.3390/rs61111244</w:t>
        </w:r>
      </w:hyperlink>
      <w:r>
        <w:t xml:space="preserve">.</w:t>
      </w:r>
    </w:p>
    <w:bookmarkEnd w:id="165"/>
    <w:bookmarkStart w:id="16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6"/>
    <w:bookmarkStart w:id="168"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7">
        <w:r>
          <w:rPr>
            <w:rStyle w:val="Hyperlink"/>
          </w:rPr>
          <w:t xml:space="preserve">https://doi.org/10.1016/j.rse.2012.12.008</w:t>
        </w:r>
      </w:hyperlink>
      <w:r>
        <w:t xml:space="preserve">.</w:t>
      </w:r>
    </w:p>
    <w:bookmarkEnd w:id="168"/>
    <w:bookmarkEnd w:id="169"/>
    <w:p>
      <w:r>
        <w:br w:type="page"/>
      </w:r>
    </w:p>
    <w:bookmarkEnd w:id="170"/>
    <w:bookmarkStart w:id="194" w:name="annexes"/>
    <w:p>
      <w:pPr>
        <w:pStyle w:val="berschrift2"/>
      </w:pPr>
      <w:r>
        <w:t xml:space="preserve">Annexes</w:t>
      </w:r>
    </w:p>
    <w:bookmarkStart w:id="171" w:name="sec:annex-st-metadata-examples"/>
    <w:p>
      <w:pPr>
        <w:pStyle w:val="berschrift3"/>
      </w:pPr>
      <w:r>
        <w:t xml:space="preserve">CEOS-ARD Requirement Examples (Surface Temperature)</w:t>
      </w:r>
    </w:p>
    <w:bookmarkEnd w:id="171"/>
    <w:bookmarkStart w:id="184" w:name="general-metadata-1"/>
    <w:p>
      <w:pPr>
        <w:pStyle w:val="berschrift3"/>
      </w:pPr>
      <w:r>
        <w:t xml:space="preserve">General Metadata</w:t>
      </w:r>
    </w:p>
    <w:bookmarkStart w:id="172"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2"/>
    <w:bookmarkStart w:id="173"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3"/>
    <w:bookmarkStart w:id="174"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4"/>
    <w:bookmarkStart w:id="175"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5"/>
    <w:bookmarkStart w:id="176"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6"/>
    <w:bookmarkStart w:id="177"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7"/>
    <w:bookmarkStart w:id="178"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8"/>
    <w:bookmarkStart w:id="179"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79"/>
    <w:bookmarkStart w:id="180"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0"/>
    <w:bookmarkStart w:id="181"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1"/>
    <w:bookmarkStart w:id="182"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2"/>
    <w:bookmarkStart w:id="183"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3"/>
    <w:bookmarkEnd w:id="184"/>
    <w:bookmarkStart w:id="191" w:name="per-pixel-metadata-1"/>
    <w:p>
      <w:pPr>
        <w:pStyle w:val="berschrift3"/>
      </w:pPr>
      <w:r>
        <w:t xml:space="preserve">Per-Pixel Metadata</w:t>
      </w:r>
    </w:p>
    <w:bookmarkStart w:id="185"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5"/>
    <w:bookmarkStart w:id="186"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6"/>
    <w:bookmarkStart w:id="187"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7"/>
    <w:bookmarkStart w:id="188"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6"/>
        </w:numPr>
      </w:pPr>
      <w:r>
        <w:t xml:space="preserve">cloud_in</w:t>
      </w:r>
    </w:p>
    <w:p>
      <w:pPr>
        <w:pStyle w:val="Compact"/>
        <w:numPr>
          <w:ilvl w:val="0"/>
          <w:numId w:val="1046"/>
        </w:numPr>
      </w:pPr>
      <w:r>
        <w:t xml:space="preserve">confidence_in</w:t>
      </w:r>
    </w:p>
    <w:p>
      <w:pPr>
        <w:pStyle w:val="Compact"/>
        <w:numPr>
          <w:ilvl w:val="0"/>
          <w:numId w:val="1046"/>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8"/>
    <w:bookmarkStart w:id="189" w:name="cloud-shadow"/>
    <w:p>
      <w:pPr>
        <w:pStyle w:val="berschrift4"/>
      </w:pPr>
      <w:r>
        <w:t xml:space="preserve">Cloud Shadow</w:t>
      </w:r>
    </w:p>
    <w:p>
      <w:pPr>
        <w:pStyle w:val="FirstParagraph"/>
      </w:pPr>
      <w:r>
        <w:t xml:space="preserve">Please see the cloud shadow part in the example provided in requirement 2.5</w:t>
      </w:r>
    </w:p>
    <w:bookmarkEnd w:id="189"/>
    <w:bookmarkStart w:id="190" w:name="snowice-mask"/>
    <w:p>
      <w:pPr>
        <w:pStyle w:val="berschrift4"/>
      </w:pPr>
      <w:r>
        <w:t xml:space="preserve">Snow/Ice Mask</w:t>
      </w:r>
    </w:p>
    <w:p>
      <w:pPr>
        <w:pStyle w:val="FirstParagraph"/>
      </w:pPr>
      <w:r>
        <w:t xml:space="preserve">Please see the snow part in the example provided in requirement 2.5</w:t>
      </w:r>
    </w:p>
    <w:bookmarkEnd w:id="190"/>
    <w:bookmarkEnd w:id="191"/>
    <w:bookmarkStart w:id="192" w:name="X28ed3ea323a9ca6f7226af18ce59e0b82f609b5"/>
    <w:p>
      <w:pPr>
        <w:pStyle w:val="berschrift3"/>
      </w:pPr>
      <w:r>
        <w:t xml:space="preserve">Radiometric and Atmospheric Corrections</w:t>
      </w:r>
    </w:p>
    <w:p>
      <w:pPr>
        <w:pStyle w:val="FirstParagraph"/>
      </w:pPr>
      <w:r>
        <w:t xml:space="preserve">No examples provided</w:t>
      </w:r>
    </w:p>
    <w:bookmarkEnd w:id="192"/>
    <w:bookmarkStart w:id="193" w:name="geometric-corrections-1"/>
    <w:p>
      <w:pPr>
        <w:pStyle w:val="berschrift3"/>
      </w:pPr>
      <w:r>
        <w:t xml:space="preserve">Geometric Corrections</w:t>
      </w:r>
    </w:p>
    <w:p>
      <w:pPr>
        <w:pStyle w:val="FirstParagraph"/>
      </w:pPr>
      <w:r>
        <w:t xml:space="preserve">No examples provided</w:t>
      </w:r>
    </w:p>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2026-01-26T16:25:32Z</dcterms:created>
  <dcterms:modified xsi:type="dcterms:W3CDTF">2026-01-26T16:25:32Z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