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85" w:name="Xce600f72cb23def82478a30d868cf03fbc410f5"/>
    <w:p>
      <w:pPr>
        <w:pStyle w:val="berschrift1"/>
      </w:pPr>
      <w:r>
        <w:t xml:space="preserve">CEOS-ARD - Optical - Nighttime Light Surface Radiance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Nighttime Light Surface Radiance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Brian Killough, NASA, USA</w:t>
      </w:r>
    </w:p>
    <w:p>
      <w:pPr>
        <w:pStyle w:val="Compact"/>
        <w:numPr>
          <w:ilvl w:val="0"/>
          <w:numId w:val="1001"/>
        </w:numPr>
      </w:pPr>
      <w:r>
        <w:t xml:space="preserve">Bhaskar Ramachandran, NASA, USA</w:t>
      </w:r>
    </w:p>
    <w:p>
      <w:pPr>
        <w:pStyle w:val="Compact"/>
        <w:numPr>
          <w:ilvl w:val="0"/>
          <w:numId w:val="1001"/>
        </w:numPr>
      </w:pPr>
      <w:r>
        <w:t xml:space="preserve">Miguel Román, Leidos Inc., USA</w:t>
      </w:r>
    </w:p>
    <w:p>
      <w:pPr>
        <w:pStyle w:val="Compact"/>
        <w:numPr>
          <w:ilvl w:val="0"/>
          <w:numId w:val="1001"/>
        </w:numPr>
      </w:pPr>
      <w:r>
        <w:t xml:space="preserve">Zhuosen Wang, University of Maryland, USA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 Surface Radiance (NLSR)</w:t>
      </w:r>
    </w:p>
    <w:p>
      <w:pPr>
        <w:pStyle w:val="Textkrper"/>
      </w:pPr>
      <w:r>
        <w:rPr>
          <w:b/>
          <w:bCs/>
        </w:rPr>
        <w:t xml:space="preserve">Version:</w:t>
      </w:r>
      <w:r>
        <w:t xml:space="preserve"> </w:t>
      </w:r>
      <w:r>
        <w:t xml:space="preserve">1.1-draft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29"/>
    <w:bookmarkStart w:id="30" w:name="definitions-and-abbreviations"/>
    <w:p>
      <w:pPr>
        <w:pStyle w:val="berschrift2"/>
      </w:pPr>
      <w:r>
        <w:t xml:space="preserve">Definitions and Abbreviations</w:t>
      </w:r>
    </w:p>
    <w:p>
      <w:pPr>
        <w:pStyle w:val="DefinitionTerm"/>
      </w:pPr>
      <w:r>
        <w:t xml:space="preserve">CEOS-ARD</w:t>
      </w:r>
    </w:p>
    <w:p>
      <w:pPr>
        <w:pStyle w:val="Definition"/>
      </w:pPr>
      <w:r>
        <w:t xml:space="preserve">Committee on Earth Observation Satellites - Analysis Ready Data</w:t>
      </w:r>
    </w:p>
    <w:p>
      <w:pPr>
        <w:pStyle w:val="DefinitionTerm"/>
      </w:pPr>
      <w:r>
        <w:t xml:space="preserve">DOI</w:t>
      </w:r>
    </w:p>
    <w:p>
      <w:pPr>
        <w:pStyle w:val="Definition"/>
      </w:pPr>
      <w:r>
        <w:t xml:space="preserve">Digital Object Identifier</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 Surface Radiance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VIS</w:t>
      </w:r>
    </w:p>
    <w:p>
      <w:pPr>
        <w:pStyle w:val="Definition"/>
      </w:pPr>
      <w:r>
        <w:t xml:space="preserve">Visible</w:t>
      </w:r>
    </w:p>
    <w:p>
      <w:r>
        <w:br w:type="page"/>
      </w:r>
    </w:p>
    <w:bookmarkEnd w:id="30"/>
    <w:bookmarkStart w:id="61"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35"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ac.measurements-uncertainty">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bookmarkEnd w:id="33"/>
    <w:bookmarkEnd w:id="34"/>
    <w:bookmarkEnd w:id="35"/>
    <w:bookmarkStart w:id="40"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39" w:name="sec:src.example"/>
    <w:p>
      <w:pPr>
        <w:pStyle w:val="berschrift4"/>
      </w:pPr>
      <w:r>
        <w:rPr>
          <w:rStyle w:val="VerbatimChar"/>
        </w:rPr>
        <w:t xml:space="preserve">2.1.</w:t>
      </w:r>
      <w:r>
        <w:t xml:space="preserve"> </w:t>
      </w:r>
      <w:r>
        <w:t xml:space="preserve">Example Requirement</w:t>
      </w:r>
    </w:p>
    <w:p>
      <w:pPr>
        <w:pStyle w:val="FirstParagraph"/>
      </w:pPr>
      <w:r>
        <w:t xml:space="preserve">Identifier:</w:t>
      </w:r>
      <w:r>
        <w:t xml:space="preserve"> </w:t>
      </w:r>
      <w:r>
        <w:rPr>
          <w:rStyle w:val="VerbatimChar"/>
        </w:rPr>
        <w:t xml:space="preserve">src.example</w:t>
      </w:r>
    </w:p>
    <w:p>
      <w:pPr>
        <w:pStyle w:val="Textkrper"/>
      </w:pPr>
      <w:r>
        <w:t xml:space="preserve">This is an example requirement.</w:t>
      </w:r>
    </w:p>
    <w:bookmarkStart w:id="36" w:name="threshold-requirements-1"/>
    <w:p>
      <w:pPr>
        <w:pStyle w:val="berschrift5"/>
      </w:pPr>
      <w:r>
        <w:t xml:space="preserve">Threshold requirements:</w:t>
      </w:r>
    </w:p>
    <w:p>
      <w:pPr>
        <w:pStyle w:val="FirstParagraph"/>
      </w:pPr>
      <w:r>
        <w:t xml:space="preserve">This is a threshold requirement.</w:t>
      </w:r>
    </w:p>
    <w:bookmarkEnd w:id="36"/>
    <w:bookmarkStart w:id="37" w:name="goal-requirements-1"/>
    <w:p>
      <w:pPr>
        <w:pStyle w:val="berschrift5"/>
      </w:pPr>
      <w:r>
        <w:t xml:space="preserve">Goal requirements:</w:t>
      </w:r>
    </w:p>
    <w:p>
      <w:pPr>
        <w:pStyle w:val="FirstParagraph"/>
      </w:pPr>
      <w:r>
        <w:t xml:space="preserve">This is a goal requirement.</w:t>
      </w:r>
    </w:p>
    <w:p>
      <w:pPr>
        <w:pStyle w:val="Textkrper"/>
      </w:pPr>
      <w:r>
        <w:t xml:space="preserve">Notes:</w:t>
      </w:r>
    </w:p>
    <w:p>
      <w:pPr>
        <w:pStyle w:val="Compact"/>
        <w:numPr>
          <w:ilvl w:val="0"/>
          <w:numId w:val="1004"/>
        </w:numPr>
      </w:pPr>
      <w:r>
        <w:t xml:space="preserve">This is a note.</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bookmarkEnd w:id="38"/>
    <w:bookmarkEnd w:id="39"/>
    <w:bookmarkEnd w:id="40"/>
    <w:bookmarkStart w:id="4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44" w:name="sec:prd.example"/>
    <w:p>
      <w:pPr>
        <w:pStyle w:val="berschrift4"/>
      </w:pPr>
      <w:r>
        <w:rPr>
          <w:rStyle w:val="VerbatimChar"/>
        </w:rPr>
        <w:t xml:space="preserve">3.1.</w:t>
      </w:r>
      <w:r>
        <w:t xml:space="preserve"> </w:t>
      </w:r>
      <w:r>
        <w:t xml:space="preserve">Example Requirement</w:t>
      </w:r>
    </w:p>
    <w:p>
      <w:pPr>
        <w:pStyle w:val="FirstParagraph"/>
      </w:pPr>
      <w:r>
        <w:t xml:space="preserve">Identifier:</w:t>
      </w:r>
      <w:r>
        <w:t xml:space="preserve"> </w:t>
      </w:r>
      <w:r>
        <w:rPr>
          <w:rStyle w:val="VerbatimChar"/>
        </w:rPr>
        <w:t xml:space="preserve">prd.example</w:t>
      </w:r>
    </w:p>
    <w:p>
      <w:pPr>
        <w:pStyle w:val="Textkrper"/>
      </w:pPr>
      <w:r>
        <w:t xml:space="preserve">This is an example requirement.</w:t>
      </w:r>
    </w:p>
    <w:bookmarkStart w:id="41" w:name="threshold-requirements-2"/>
    <w:p>
      <w:pPr>
        <w:pStyle w:val="berschrift5"/>
      </w:pPr>
      <w:r>
        <w:t xml:space="preserve">Threshold requirements:</w:t>
      </w:r>
    </w:p>
    <w:p>
      <w:pPr>
        <w:pStyle w:val="FirstParagraph"/>
      </w:pPr>
      <w:r>
        <w:t xml:space="preserve">This is a threshold requirement.</w:t>
      </w:r>
    </w:p>
    <w:bookmarkEnd w:id="41"/>
    <w:bookmarkStart w:id="42" w:name="goal-requirements-2"/>
    <w:p>
      <w:pPr>
        <w:pStyle w:val="berschrift5"/>
      </w:pPr>
      <w:r>
        <w:t xml:space="preserve">Goal requirements:</w:t>
      </w:r>
    </w:p>
    <w:p>
      <w:pPr>
        <w:pStyle w:val="FirstParagraph"/>
      </w:pPr>
      <w:r>
        <w:t xml:space="preserve">This is a goal requirement.</w:t>
      </w:r>
    </w:p>
    <w:p>
      <w:pPr>
        <w:pStyle w:val="Textkrper"/>
      </w:pPr>
      <w:r>
        <w:t xml:space="preserve">Notes:</w:t>
      </w:r>
    </w:p>
    <w:p>
      <w:pPr>
        <w:pStyle w:val="Compact"/>
        <w:numPr>
          <w:ilvl w:val="0"/>
          <w:numId w:val="1006"/>
        </w:numPr>
      </w:pPr>
      <w:r>
        <w:t xml:space="preserve">This is a note.</w:t>
      </w:r>
    </w:p>
    <w:bookmarkEnd w:id="42"/>
    <w:bookmarkStart w:id="43"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3"/>
    <w:bookmarkEnd w:id="44"/>
    <w:bookmarkEnd w:id="45"/>
    <w:bookmarkStart w:id="50"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p>
      <w:pPr>
        <w:pStyle w:val="Textkrper"/>
      </w:pPr>
      <w:r>
        <w:rPr>
          <w:i/>
          <w:iCs/>
        </w:rPr>
        <w:t xml:space="preserve">Cloud optimized file formats are recommended.</w:t>
      </w:r>
    </w:p>
    <w:bookmarkStart w:id="49" w:name="sec:pxl.example"/>
    <w:p>
      <w:pPr>
        <w:pStyle w:val="berschrift4"/>
      </w:pPr>
      <w:r>
        <w:rPr>
          <w:rStyle w:val="VerbatimChar"/>
        </w:rPr>
        <w:t xml:space="preserve">4.1.</w:t>
      </w:r>
      <w:r>
        <w:t xml:space="preserve"> </w:t>
      </w:r>
      <w:r>
        <w:t xml:space="preserve">Example Requirement</w:t>
      </w:r>
    </w:p>
    <w:p>
      <w:pPr>
        <w:pStyle w:val="FirstParagraph"/>
      </w:pPr>
      <w:r>
        <w:t xml:space="preserve">Identifier:</w:t>
      </w:r>
      <w:r>
        <w:t xml:space="preserve"> </w:t>
      </w:r>
      <w:r>
        <w:rPr>
          <w:rStyle w:val="VerbatimChar"/>
        </w:rPr>
        <w:t xml:space="preserve">pxl.example</w:t>
      </w:r>
    </w:p>
    <w:p>
      <w:pPr>
        <w:pStyle w:val="Textkrper"/>
      </w:pPr>
      <w:r>
        <w:t xml:space="preserve">This is an example requirement.</w:t>
      </w:r>
    </w:p>
    <w:bookmarkStart w:id="46" w:name="threshold-requirements-3"/>
    <w:p>
      <w:pPr>
        <w:pStyle w:val="berschrift5"/>
      </w:pPr>
      <w:r>
        <w:t xml:space="preserve">Threshold requirements:</w:t>
      </w:r>
    </w:p>
    <w:p>
      <w:pPr>
        <w:pStyle w:val="FirstParagraph"/>
      </w:pPr>
      <w:r>
        <w:t xml:space="preserve">This is a threshold requirement.</w:t>
      </w:r>
    </w:p>
    <w:bookmarkEnd w:id="46"/>
    <w:bookmarkStart w:id="47" w:name="goal-requirements-3"/>
    <w:p>
      <w:pPr>
        <w:pStyle w:val="berschrift5"/>
      </w:pPr>
      <w:r>
        <w:t xml:space="preserve">Goal requirements:</w:t>
      </w:r>
    </w:p>
    <w:p>
      <w:pPr>
        <w:pStyle w:val="FirstParagraph"/>
      </w:pPr>
      <w:r>
        <w:t xml:space="preserve">This is a goal requirement.</w:t>
      </w:r>
    </w:p>
    <w:p>
      <w:pPr>
        <w:pStyle w:val="Textkrper"/>
      </w:pPr>
      <w:r>
        <w:t xml:space="preserve">Notes:</w:t>
      </w:r>
    </w:p>
    <w:p>
      <w:pPr>
        <w:pStyle w:val="Compact"/>
        <w:numPr>
          <w:ilvl w:val="0"/>
          <w:numId w:val="1008"/>
        </w:numPr>
      </w:pPr>
      <w:r>
        <w:t xml:space="preserve">This is a note.</w:t>
      </w:r>
    </w:p>
    <w:bookmarkEnd w:id="47"/>
    <w:bookmarkStart w:id="48" w:name="assessment-3"/>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bookmarkEnd w:id="48"/>
    <w:bookmarkEnd w:id="49"/>
    <w:bookmarkEnd w:id="50"/>
    <w:bookmarkStart w:id="55" w:name="sec:rac"/>
    <w:p>
      <w:pPr>
        <w:pStyle w:val="berschrift3"/>
      </w:pPr>
      <w:r>
        <w:rPr>
          <w:rStyle w:val="VerbatimChar"/>
        </w:rPr>
        <w:t xml:space="preserve">5.</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 Radiometric corrections must lead to a valid measurement of surface reflectance.</w:t>
      </w:r>
    </w:p>
    <w:bookmarkStart w:id="54" w:name="sec:rac.measurements-uncertainty"/>
    <w:p>
      <w:pPr>
        <w:pStyle w:val="berschrift4"/>
      </w:pPr>
      <w:r>
        <w:rPr>
          <w:rStyle w:val="VerbatimChar"/>
        </w:rPr>
        <w:t xml:space="preserve">5.1.</w:t>
      </w:r>
      <w:r>
        <w:t xml:space="preserve"> </w:t>
      </w:r>
      <w:r>
        <w:t xml:space="preserve">Measurement Uncertainty</w:t>
      </w:r>
    </w:p>
    <w:p>
      <w:pPr>
        <w:pStyle w:val="FirstParagraph"/>
      </w:pPr>
      <w:r>
        <w:t xml:space="preserve">Identifier:</w:t>
      </w:r>
      <w:r>
        <w:t xml:space="preserve"> </w:t>
      </w:r>
      <w:r>
        <w:rPr>
          <w:rStyle w:val="VerbatimChar"/>
        </w:rPr>
        <w:t xml:space="preserve">rac.measurements-uncertainty</w:t>
      </w:r>
    </w:p>
    <w:p>
      <w:pPr>
        <w:pStyle w:val="Textkrper"/>
      </w:pPr>
      <w:r>
        <w:t xml:space="preserve">Note: In current practice, users determine fitness for purpose based on knowledge of the lineage of the data, rather than on a specific estimate of measurement uncertainty.</w:t>
      </w:r>
    </w:p>
    <w:bookmarkStart w:id="51" w:name="threshold-requirements-4"/>
    <w:p>
      <w:pPr>
        <w:pStyle w:val="berschrift5"/>
      </w:pPr>
      <w:r>
        <w:t xml:space="preserve">Threshold requirements:</w:t>
      </w:r>
    </w:p>
    <w:p>
      <w:pPr>
        <w:pStyle w:val="FirstParagraph"/>
      </w:pPr>
      <w:r>
        <w:t xml:space="preserve">Not required.</w:t>
      </w:r>
      <w:r>
        <w:t xml:space="preserve"> </w:t>
      </w:r>
    </w:p>
    <w:bookmarkEnd w:id="51"/>
    <w:bookmarkStart w:id="52" w:name="goal-requirements-4"/>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10"/>
        </w:numPr>
      </w:pPr>
      <w:r>
        <w:t xml:space="preserve">This is a requirement for SI traceability. See also Section </w:t>
      </w:r>
      <w:r>
        <w:t xml:space="preserve">“</w:t>
      </w:r>
      <w:hyperlink w:anchor="sec:meta.metadata-traceability">
        <w:r>
          <w:rPr>
            <w:rStyle w:val="Hyperlink"/>
          </w:rPr>
          <w:t xml:space="preserve">General Metadata: Traceability</w:t>
        </w:r>
      </w:hyperlink>
      <w:r>
        <w:t xml:space="preserve">”</w:t>
      </w:r>
      <w:r>
        <w:t xml:space="preserve">.</w:t>
      </w:r>
    </w:p>
    <w:p>
      <w:pPr>
        <w:pStyle w:val="Compact"/>
        <w:numPr>
          <w:ilvl w:val="0"/>
          <w:numId w:val="1010"/>
        </w:numPr>
      </w:pPr>
      <w:r>
        <w:t xml:space="preserve">Information on measurement uncertainty should be available in the metadata as a single DOI landing page.</w:t>
      </w:r>
    </w:p>
    <w:bookmarkEnd w:id="52"/>
    <w:bookmarkStart w:id="53" w:name="assessment-4"/>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bookmarkEnd w:id="53"/>
    <w:bookmarkEnd w:id="54"/>
    <w:bookmarkEnd w:id="55"/>
    <w:bookmarkStart w:id="60"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59" w:name="sec:gcor.example"/>
    <w:p>
      <w:pPr>
        <w:pStyle w:val="berschrift4"/>
      </w:pPr>
      <w:r>
        <w:rPr>
          <w:rStyle w:val="VerbatimChar"/>
        </w:rPr>
        <w:t xml:space="preserve">6.1.</w:t>
      </w:r>
      <w:r>
        <w:t xml:space="preserve"> </w:t>
      </w:r>
      <w:r>
        <w:t xml:space="preserve">Example Requirement</w:t>
      </w:r>
    </w:p>
    <w:p>
      <w:pPr>
        <w:pStyle w:val="FirstParagraph"/>
      </w:pPr>
      <w:r>
        <w:t xml:space="preserve">Identifier:</w:t>
      </w:r>
      <w:r>
        <w:t xml:space="preserve"> </w:t>
      </w:r>
      <w:r>
        <w:rPr>
          <w:rStyle w:val="VerbatimChar"/>
        </w:rPr>
        <w:t xml:space="preserve">gcor.example</w:t>
      </w:r>
    </w:p>
    <w:p>
      <w:pPr>
        <w:pStyle w:val="Textkrper"/>
      </w:pPr>
      <w:r>
        <w:t xml:space="preserve">This is an example requirement.</w:t>
      </w:r>
    </w:p>
    <w:bookmarkStart w:id="56" w:name="threshold-requirements-5"/>
    <w:p>
      <w:pPr>
        <w:pStyle w:val="berschrift5"/>
      </w:pPr>
      <w:r>
        <w:t xml:space="preserve">Threshold requirements:</w:t>
      </w:r>
    </w:p>
    <w:p>
      <w:pPr>
        <w:pStyle w:val="FirstParagraph"/>
      </w:pPr>
      <w:r>
        <w:t xml:space="preserve">This is a threshold requirement.</w:t>
      </w:r>
    </w:p>
    <w:bookmarkEnd w:id="56"/>
    <w:bookmarkStart w:id="57" w:name="goal-requirements-5"/>
    <w:p>
      <w:pPr>
        <w:pStyle w:val="berschrift5"/>
      </w:pPr>
      <w:r>
        <w:t xml:space="preserve">Goal requirements:</w:t>
      </w:r>
    </w:p>
    <w:p>
      <w:pPr>
        <w:pStyle w:val="FirstParagraph"/>
      </w:pPr>
      <w:r>
        <w:t xml:space="preserve">This is a goal requirement.</w:t>
      </w:r>
    </w:p>
    <w:p>
      <w:pPr>
        <w:pStyle w:val="Textkrper"/>
      </w:pPr>
      <w:r>
        <w:t xml:space="preserve">Notes:</w:t>
      </w:r>
    </w:p>
    <w:p>
      <w:pPr>
        <w:pStyle w:val="Compact"/>
        <w:numPr>
          <w:ilvl w:val="0"/>
          <w:numId w:val="1012"/>
        </w:numPr>
      </w:pPr>
      <w:r>
        <w:t xml:space="preserve">This is a note.</w:t>
      </w:r>
    </w:p>
    <w:bookmarkEnd w:id="57"/>
    <w:bookmarkStart w:id="58" w:name="assessment-5"/>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br w:type="page"/>
      </w:r>
    </w:p>
    <w:bookmarkEnd w:id="58"/>
    <w:bookmarkEnd w:id="59"/>
    <w:bookmarkEnd w:id="60"/>
    <w:bookmarkEnd w:id="61"/>
    <w:bookmarkStart w:id="68" w:name="summary-self-assessment-table"/>
    <w:p>
      <w:pPr>
        <w:pStyle w:val="berschrift2"/>
      </w:pPr>
      <w:r>
        <w:t xml:space="preserve">Summary Self-Assessment Table</w:t>
      </w:r>
    </w:p>
    <w:bookmarkStart w:id="62"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bl>
    <w:bookmarkEnd w:id="62"/>
    <w:bookmarkStart w:id="63" w:name="source-metadata"/>
    <w:p>
      <w:pPr>
        <w:pStyle w:val="berschrift3"/>
      </w:pPr>
      <w:r>
        <w:t xml:space="preserve">Source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src.example</w:t>
            </w:r>
          </w:p>
        </w:tc>
        <w:tc>
          <w:tcPr/>
          <w:p>
            <w:pPr>
              <w:pStyle w:val="Compact"/>
            </w:pPr>
            <w:r>
              <w:t xml:space="preserve">Example Requirement</w:t>
            </w:r>
          </w:p>
        </w:tc>
        <w:tc>
          <w:tcPr/>
          <w:p>
            <w:pPr>
              <w:pStyle w:val="Compact"/>
            </w:pPr>
          </w:p>
        </w:tc>
        <w:tc>
          <w:tcPr/>
          <w:p>
            <w:pPr>
              <w:pStyle w:val="Compact"/>
            </w:pPr>
          </w:p>
        </w:tc>
      </w:tr>
    </w:tbl>
    <w:bookmarkEnd w:id="63"/>
    <w:bookmarkStart w:id="64" w:name="product-metadata"/>
    <w:p>
      <w:pPr>
        <w:pStyle w:val="berschrift3"/>
      </w:pPr>
      <w:r>
        <w:t xml:space="preserve">Product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prd.example</w:t>
            </w:r>
          </w:p>
        </w:tc>
        <w:tc>
          <w:tcPr/>
          <w:p>
            <w:pPr>
              <w:pStyle w:val="Compact"/>
            </w:pPr>
            <w:r>
              <w:t xml:space="preserve">Example Requirement</w:t>
            </w:r>
          </w:p>
        </w:tc>
        <w:tc>
          <w:tcPr/>
          <w:p>
            <w:pPr>
              <w:pStyle w:val="Compact"/>
            </w:pPr>
          </w:p>
        </w:tc>
        <w:tc>
          <w:tcPr/>
          <w:p>
            <w:pPr>
              <w:pStyle w:val="Compact"/>
            </w:pPr>
          </w:p>
        </w:tc>
      </w:tr>
    </w:tbl>
    <w:bookmarkEnd w:id="64"/>
    <w:bookmarkStart w:id="65"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pxl.example</w:t>
            </w:r>
          </w:p>
        </w:tc>
        <w:tc>
          <w:tcPr/>
          <w:p>
            <w:pPr>
              <w:pStyle w:val="Compact"/>
            </w:pPr>
            <w:r>
              <w:t xml:space="preserve">Example Requirement</w:t>
            </w:r>
          </w:p>
        </w:tc>
        <w:tc>
          <w:tcPr/>
          <w:p>
            <w:pPr>
              <w:pStyle w:val="Compact"/>
            </w:pPr>
          </w:p>
        </w:tc>
        <w:tc>
          <w:tcPr/>
          <w:p>
            <w:pPr>
              <w:pStyle w:val="Compact"/>
            </w:pPr>
          </w:p>
        </w:tc>
      </w:tr>
    </w:tbl>
    <w:bookmarkEnd w:id="65"/>
    <w:bookmarkStart w:id="66"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rac.measurements-uncertainty</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66"/>
    <w:bookmarkStart w:id="67"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gcor.example</w:t>
            </w:r>
          </w:p>
        </w:tc>
        <w:tc>
          <w:tcPr/>
          <w:p>
            <w:pPr>
              <w:pStyle w:val="Compact"/>
            </w:pPr>
            <w:r>
              <w:t xml:space="preserve">Example Requirement</w:t>
            </w:r>
          </w:p>
        </w:tc>
        <w:tc>
          <w:tcPr/>
          <w:p>
            <w:pPr>
              <w:pStyle w:val="Compact"/>
            </w:pPr>
          </w:p>
        </w:tc>
        <w:tc>
          <w:tcPr/>
          <w:p>
            <w:pPr>
              <w:pStyle w:val="Compact"/>
            </w:pPr>
          </w:p>
        </w:tc>
      </w:tr>
    </w:tbl>
    <w:p>
      <w:r>
        <w:br w:type="page"/>
      </w:r>
    </w:p>
    <w:bookmarkEnd w:id="67"/>
    <w:bookmarkEnd w:id="68"/>
    <w:bookmarkStart w:id="73"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69"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69"/>
    <w:bookmarkStart w:id="71"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14"/>
        </w:numPr>
      </w:pPr>
      <w:r>
        <w:t xml:space="preserve">that product has been assessed as meeting CEOS-ARD requirements by the agency responsible for production and distribution of the product, and</w:t>
      </w:r>
    </w:p>
    <w:p>
      <w:pPr>
        <w:pStyle w:val="Compact"/>
        <w:numPr>
          <w:ilvl w:val="0"/>
          <w:numId w:val="101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70">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71"/>
    <w:bookmarkStart w:id="72"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72"/>
    <w:bookmarkEnd w:id="73"/>
    <w:bookmarkStart w:id="84" w:name="references"/>
    <w:p>
      <w:pPr>
        <w:pStyle w:val="berschrift2"/>
      </w:pPr>
      <w:r>
        <w:t xml:space="preserve">References</w:t>
      </w:r>
    </w:p>
    <w:bookmarkStart w:id="83" w:name="refs"/>
    <w:bookmarkStart w:id="74"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74"/>
    <w:bookmarkStart w:id="76"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75">
        <w:r>
          <w:rPr>
            <w:rStyle w:val="Hyperlink"/>
          </w:rPr>
          <w:t xml:space="preserve">https://doi.org/10.1117/12.2060143</w:t>
        </w:r>
      </w:hyperlink>
      <w:r>
        <w:t xml:space="preserve">.</w:t>
      </w:r>
    </w:p>
    <w:bookmarkEnd w:id="76"/>
    <w:bookmarkStart w:id="78" w:name="ref-roman2018"/>
    <w:p>
      <w:pPr>
        <w:pStyle w:val="Literaturverzeichnis"/>
      </w:pPr>
      <w:r>
        <w:t xml:space="preserve">Román, Miguel O., Zhuosen Wang, Qingsong Sun, Virginia Kalb, Steven D. Miller, Andrew Molthan, Lori Schultz,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77">
        <w:r>
          <w:rPr>
            <w:rStyle w:val="Hyperlink"/>
          </w:rPr>
          <w:t xml:space="preserve">https://doi.org/10.1016/j.rse.2018.03.017</w:t>
        </w:r>
      </w:hyperlink>
      <w:r>
        <w:t xml:space="preserve">.</w:t>
      </w:r>
    </w:p>
    <w:bookmarkEnd w:id="78"/>
    <w:bookmarkStart w:id="80" w:name="ref-ryan2019"/>
    <w:p>
      <w:pPr>
        <w:pStyle w:val="Literaturverzeichnis"/>
      </w:pPr>
      <w:r>
        <w:t xml:space="preserve">Ryan, Robert E., Mary Pagnutti, Kara Burch, Larry Leigh, Timothy Ruggles, Changyong Cao, David Aaron, Slawomir Blonski, and Dennis Helder.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79">
        <w:r>
          <w:rPr>
            <w:rStyle w:val="Hyperlink"/>
          </w:rPr>
          <w:t xml:space="preserve">https://doi.org/10.3390/rs11060710</w:t>
        </w:r>
      </w:hyperlink>
      <w:r>
        <w:t xml:space="preserve">.</w:t>
      </w:r>
    </w:p>
    <w:bookmarkEnd w:id="80"/>
    <w:bookmarkStart w:id="82"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81">
        <w:r>
          <w:rPr>
            <w:rStyle w:val="Hyperlink"/>
          </w:rPr>
          <w:t xml:space="preserve">https://doi.org/10.1016/j.rse.2021.112557</w:t>
        </w:r>
      </w:hyperlink>
      <w:r>
        <w:t xml:space="preserve">.</w:t>
      </w:r>
    </w:p>
    <w:bookmarkEnd w:id="82"/>
    <w:bookmarkEnd w:id="83"/>
    <w:bookmarkEnd w:id="84"/>
    <w:bookmarkEnd w:id="8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70" Target="https://ceos.org/ard/files/CEOS_ARD_Governance_Framework_18-October-2021.pdf" TargetMode="External" /><Relationship Type="http://schemas.openxmlformats.org/officeDocument/2006/relationships/hyperlink" Id="rId77" Target="https://doi.org/10.1016/j.rse.2018.03.017" TargetMode="External" /><Relationship Type="http://schemas.openxmlformats.org/officeDocument/2006/relationships/hyperlink" Id="rId81" Target="https://doi.org/10.1016/j.rse.2021.112557" TargetMode="External" /><Relationship Type="http://schemas.openxmlformats.org/officeDocument/2006/relationships/hyperlink" Id="rId75" Target="https://doi.org/10.1117/12.2060143" TargetMode="External" /><Relationship Type="http://schemas.openxmlformats.org/officeDocument/2006/relationships/hyperlink" Id="rId79" Target="https://doi.org/10.3390/rs11060710"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70" Target="https://ceos.org/ard/files/CEOS_ARD_Governance_Framework_18-October-2021.pdf" TargetMode="External" /><Relationship Type="http://schemas.openxmlformats.org/officeDocument/2006/relationships/hyperlink" Id="rId77" Target="https://doi.org/10.1016/j.rse.2018.03.017" TargetMode="External" /><Relationship Type="http://schemas.openxmlformats.org/officeDocument/2006/relationships/hyperlink" Id="rId81" Target="https://doi.org/10.1016/j.rse.2021.112557" TargetMode="External" /><Relationship Type="http://schemas.openxmlformats.org/officeDocument/2006/relationships/hyperlink" Id="rId75" Target="https://doi.org/10.1117/12.2060143" TargetMode="External" /><Relationship Type="http://schemas.openxmlformats.org/officeDocument/2006/relationships/hyperlink" Id="rId79" Target="https://doi.org/10.3390/rs11060710"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 Surface Radiance - Version 1.1-draft</dc:title>
  <dc:creator/>
  <dc:language>en</dc:language>
  <cp:keywords/>
  <dcterms:created xsi:type="dcterms:W3CDTF">2025-10-13T16:22:43Z</dcterms:created>
  <dcterms:modified xsi:type="dcterms:W3CDTF">2025-10-13T16:22:43Z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