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6.png" ContentType="image/png"/>
  <Override PartName="/word/media/rId340.png" ContentType="image/png"/>
  <Override PartName="/word/media/rId344.png" ContentType="image/png"/>
  <Override PartName="/word/media/rId320.jpg" ContentType="image/jpeg"/>
  <Override PartName="/word/media/rId324.jpg" ContentType="image/jpeg"/>
  <Override PartName="/word/media/rId328.png" ContentType="image/png"/>
  <Override PartName="/word/media/rId3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50"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6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1"/>
    <w:bookmarkStart w:id="122"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rd-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24"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36"/>
        </w:numPr>
      </w:pPr>
      <w:r>
        <w:t xml:space="preserve">Four corners of the product file are recommended for scenes crossing the Antemeridian, or the North or the South Pole.</w:t>
      </w:r>
    </w:p>
    <w:bookmarkEnd w:id="124"/>
    <w:bookmarkStart w:id="125" w:name="goal-requirements-22"/>
    <w:p>
      <w:pPr>
        <w:pStyle w:val="berschrift5"/>
      </w:pPr>
      <w:r>
        <w:t xml:space="preserve">Goal requirements:</w:t>
      </w:r>
    </w:p>
    <w:p>
      <w:pPr>
        <w:pStyle w:val="FirstParagraph"/>
      </w:pPr>
      <w:r>
        <w:t xml:space="preserve">As threshold.</w:t>
      </w:r>
      <w:r>
        <w:t xml:space="preserve"> </w:t>
      </w:r>
    </w:p>
    <w:bookmarkEnd w:id="125"/>
    <w:bookmarkStart w:id="126"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6"/>
    <w:bookmarkEnd w:id="127"/>
    <w:bookmarkStart w:id="131" w:name="sec:prd-geoarea-sar"/>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28"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img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2"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9"/>
        </w:numPr>
      </w:pPr>
      <w:r>
        <w:t xml:space="preserve">Number of lines</w:t>
      </w:r>
    </w:p>
    <w:p>
      <w:pPr>
        <w:pStyle w:val="Compact"/>
        <w:numPr>
          <w:ilvl w:val="0"/>
          <w:numId w:val="1039"/>
        </w:numPr>
      </w:pPr>
      <w:r>
        <w:t xml:space="preserve">Number of pixels per line</w:t>
      </w:r>
    </w:p>
    <w:p>
      <w:pPr>
        <w:pStyle w:val="Compact"/>
        <w:numPr>
          <w:ilvl w:val="0"/>
          <w:numId w:val="1039"/>
        </w:numPr>
      </w:pPr>
      <w:r>
        <w:t xml:space="preserve">File header size (if applicable)</w:t>
      </w:r>
    </w:p>
    <w:p>
      <w:pPr>
        <w:pStyle w:val="Compact"/>
        <w:numPr>
          <w:ilvl w:val="0"/>
          <w:numId w:val="1039"/>
        </w:numPr>
      </w:pPr>
      <w:r>
        <w:t xml:space="preserve">Number of no-data border pixels (if applicable)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pixcoco"/>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36"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crs-sar"/>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0"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2"/>
    <w:bookmarkEnd w:id="143"/>
    <w:bookmarkStart w:id="147"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4"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radulo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6"/>
    <w:bookmarkEnd w:id="147"/>
    <w:bookmarkStart w:id="151" w:name="sec:prd-slarass"/>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prd-slarass</w:t>
      </w:r>
    </w:p>
    <w:bookmarkStart w:id="148"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slarassi">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0"/>
    <w:bookmarkEnd w:id="151"/>
    <w:bookmarkStart w:id="155" w:name="sec:prd-reorbit-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4"/>
    <w:bookmarkEnd w:id="155"/>
    <w:bookmarkEnd w:id="156"/>
    <w:bookmarkStart w:id="21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0"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3"/>
    <w:bookmarkEnd w:id="164"/>
    <w:bookmarkStart w:id="168"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7"/>
    <w:bookmarkEnd w:id="168"/>
    <w:bookmarkStart w:id="172"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70"/>
    <w:bookmarkStart w:id="171"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1"/>
    <w:bookmarkEnd w:id="172"/>
    <w:bookmarkStart w:id="176"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w:t>
      </w:r>
    </w:p>
    <w:p>
      <w:pPr>
        <w:pStyle w:val="Compact"/>
        <w:numPr>
          <w:ilvl w:val="0"/>
          <w:numId w:val="1055"/>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5"/>
    <w:bookmarkEnd w:id="176"/>
    <w:bookmarkStart w:id="180"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w:t>
      </w:r>
    </w:p>
    <w:p>
      <w:pPr>
        <w:pStyle w:val="Compact"/>
        <w:numPr>
          <w:ilvl w:val="0"/>
          <w:numId w:val="1058"/>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9"/>
    <w:bookmarkEnd w:id="180"/>
    <w:bookmarkStart w:id="184"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2"/>
    <w:bookmarkStart w:id="183"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3"/>
    <w:bookmarkEnd w:id="184"/>
    <w:bookmarkStart w:id="188"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6"/>
    <w:bookmarkStart w:id="187"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7"/>
    <w:bookmarkEnd w:id="188"/>
    <w:bookmarkStart w:id="192"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1"/>
    <w:bookmarkEnd w:id="192"/>
    <w:bookmarkStart w:id="196"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4"/>
    <w:bookmarkStart w:id="195"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5"/>
    <w:bookmarkEnd w:id="196"/>
    <w:bookmarkStart w:id="200" w:name="sec:pxl-radulo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pxl-radulov</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8"/>
        </w:numPr>
      </w:pPr>
      <w:r>
        <w:t xml:space="preserve">Sample Type (3D unit vector)</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pxl-slarassi"/>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pxl-slarassi</w:t>
      </w:r>
    </w:p>
    <w:bookmarkStart w:id="201" w:name="threshold-requirements-41"/>
    <w:p>
      <w:pPr>
        <w:pStyle w:val="berschrift5"/>
      </w:pPr>
      <w:r>
        <w:t xml:space="preserve">Threshold requirements:</w:t>
      </w:r>
    </w:p>
    <w:p>
      <w:pPr>
        <w:pStyle w:val="FirstParagraph"/>
      </w:pPr>
      <w:r>
        <w:t xml:space="preserve">Not required.</w:t>
      </w:r>
      <w:r>
        <w:t xml:space="preserve"> </w:t>
      </w:r>
    </w:p>
    <w:bookmarkEnd w:id="201"/>
    <w:bookmarkStart w:id="202"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70"/>
        </w:numPr>
      </w:pPr>
      <w:r>
        <w:t xml:space="preserve">Sample Type (Distance)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2"/>
    <w:bookmarkStart w:id="203"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3"/>
    <w:bookmarkEnd w:id="204"/>
    <w:bookmarkStart w:id="208" w:name="sec:pxl-pinphun"/>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05" w:name="threshold-requirements-42"/>
    <w:p>
      <w:pPr>
        <w:pStyle w:val="berschrift5"/>
      </w:pPr>
      <w:r>
        <w:t xml:space="preserve">Threshold requirements:</w:t>
      </w:r>
    </w:p>
    <w:p>
      <w:pPr>
        <w:pStyle w:val="FirstParagraph"/>
      </w:pPr>
      <w:r>
        <w:t xml:space="preserve">Not required.</w:t>
      </w:r>
      <w:r>
        <w:t xml:space="preserve"> </w:t>
      </w:r>
    </w:p>
    <w:bookmarkEnd w:id="205"/>
    <w:bookmarkStart w:id="206"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pxl-atphaci"/>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09" w:name="threshold-requirements-43"/>
    <w:p>
      <w:pPr>
        <w:pStyle w:val="berschrift5"/>
      </w:pPr>
      <w:r>
        <w:t xml:space="preserve">Threshold requirements:</w:t>
      </w:r>
    </w:p>
    <w:p>
      <w:pPr>
        <w:pStyle w:val="FirstParagraph"/>
      </w:pPr>
      <w:r>
        <w:t xml:space="preserve">Not required.</w:t>
      </w:r>
      <w:r>
        <w:t xml:space="preserve"> </w:t>
      </w:r>
    </w:p>
    <w:bookmarkEnd w:id="209"/>
    <w:bookmarkStart w:id="210"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sec:pxl-piopha"/>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13" w:name="threshold-requirements-44"/>
    <w:p>
      <w:pPr>
        <w:pStyle w:val="berschrift5"/>
      </w:pPr>
      <w:r>
        <w:t xml:space="preserve">Threshold requirements:</w:t>
      </w:r>
    </w:p>
    <w:p>
      <w:pPr>
        <w:pStyle w:val="FirstParagraph"/>
      </w:pPr>
      <w:r>
        <w:t xml:space="preserve">Not required.</w:t>
      </w:r>
      <w:r>
        <w:t xml:space="preserve"> </w:t>
      </w:r>
    </w:p>
    <w:bookmarkEnd w:id="213"/>
    <w:bookmarkStart w:id="214"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6"/>
        </w:numPr>
      </w:pPr>
      <w:r>
        <w:t xml:space="preserve">Sample Type (Angle)</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bookmarkEnd w:id="214"/>
    <w:bookmarkStart w:id="215"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bookmarkEnd w:id="215"/>
    <w:bookmarkEnd w:id="216"/>
    <w:bookmarkEnd w:id="217"/>
    <w:bookmarkStart w:id="24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1"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All files are provided using cloud-optimized file formats.</w:t>
      </w:r>
    </w:p>
    <w:bookmarkEnd w:id="219"/>
    <w:bookmarkStart w:id="220" w:name="assessment-45"/>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0"/>
    <w:bookmarkEnd w:id="221"/>
    <w:bookmarkStart w:id="225" w:name="sec:rcm-backsca-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rcm-backsca-gslc</w:t>
      </w:r>
    </w:p>
    <w:bookmarkStart w:id="222"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9"/>
        </w:numPr>
      </w:pPr>
      <w:r>
        <w:t xml:space="preserve">Measurement Type (Gamma-Nought)</w:t>
      </w:r>
    </w:p>
    <w:p>
      <w:pPr>
        <w:pStyle w:val="Compact"/>
        <w:numPr>
          <w:ilvl w:val="0"/>
          <w:numId w:val="1079"/>
        </w:numPr>
      </w:pPr>
      <w:r>
        <w:t xml:space="preserve">Backscatter Expression Convention (linear amplitude, linear power*)</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Transformation to the logarithm decibel scale is not required or desired as this step can be easily completed by the user if necessary.</w:t>
      </w:r>
    </w:p>
    <w:bookmarkEnd w:id="222"/>
    <w:bookmarkStart w:id="223" w:name="goal-requirements-46"/>
    <w:p>
      <w:pPr>
        <w:pStyle w:val="berschrift5"/>
      </w:pPr>
      <w:r>
        <w:t xml:space="preserve">Goal requirements:</w:t>
      </w:r>
    </w:p>
    <w:p>
      <w:pPr>
        <w:pStyle w:val="FirstParagraph"/>
      </w:pPr>
      <w:r>
        <w:t xml:space="preserve">As threshold.</w:t>
      </w:r>
      <w:r>
        <w:t xml:space="preserve"> </w:t>
      </w:r>
    </w:p>
    <w:bookmarkEnd w:id="223"/>
    <w:bookmarkStart w:id="224"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4"/>
    <w:bookmarkEnd w:id="225"/>
    <w:bookmarkStart w:id="229"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26"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6"/>
    <w:bookmarkStart w:id="227" w:name="goal-requirements-47"/>
    <w:p>
      <w:pPr>
        <w:pStyle w:val="berschrift5"/>
      </w:pPr>
      <w:r>
        <w:t xml:space="preserve">Goal requirements:</w:t>
      </w:r>
    </w:p>
    <w:p>
      <w:pPr>
        <w:pStyle w:val="FirstParagraph"/>
      </w:pPr>
      <w:r>
        <w:t xml:space="preserve">As threshold, but use of float32.</w:t>
      </w:r>
    </w:p>
    <w:bookmarkEnd w:id="227"/>
    <w:bookmarkStart w:id="228" w:name="assessment-47"/>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28"/>
    <w:bookmarkEnd w:id="229"/>
    <w:bookmarkStart w:id="233"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30"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83"/>
        </w:numPr>
      </w:pPr>
      <w:r>
        <w:t xml:space="preserve">Thermal noise removal and image border noise removal to remove overall scene noise and scene edge artefacts, respectively.</w:t>
      </w:r>
    </w:p>
    <w:bookmarkEnd w:id="230"/>
    <w:bookmarkStart w:id="231" w:name="goal-requirements-48"/>
    <w:p>
      <w:pPr>
        <w:pStyle w:val="berschrift5"/>
      </w:pPr>
      <w:r>
        <w:t xml:space="preserve">Goal requirements:</w:t>
      </w:r>
    </w:p>
    <w:p>
      <w:pPr>
        <w:pStyle w:val="FirstParagraph"/>
      </w:pPr>
      <w:r>
        <w:t xml:space="preserve">As threshold.</w:t>
      </w:r>
      <w:r>
        <w:t xml:space="preserve"> </w:t>
      </w:r>
    </w:p>
    <w:bookmarkEnd w:id="231"/>
    <w:bookmarkStart w:id="232" w:name="assessment-48"/>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2"/>
    <w:bookmarkEnd w:id="233"/>
    <w:bookmarkStart w:id="237" w:name="sec:rcm-radtalg-gslc"/>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rcm-radtalg-gslc</w:t>
      </w:r>
    </w:p>
    <w:bookmarkStart w:id="234" w:name="threshold-requirements-49"/>
    <w:p>
      <w:pPr>
        <w:pStyle w:val="berschrift5"/>
      </w:pPr>
      <w:r>
        <w:t xml:space="preserve">Threshold requirements:</w:t>
      </w:r>
    </w:p>
    <w:p>
      <w:pPr>
        <w:pStyle w:val="FirstParagraph"/>
      </w:pPr>
      <w:r>
        <w:t xml:space="preserve">Not required.</w:t>
      </w:r>
      <w:r>
        <w:t xml:space="preserve"> </w:t>
      </w:r>
    </w:p>
    <w:bookmarkEnd w:id="234"/>
    <w:bookmarkStart w:id="235"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5"/>
        </w:numPr>
      </w:pPr>
      <w:r>
        <w:t xml:space="preserve">a citable peer-reviewed algorithm</w:t>
      </w:r>
    </w:p>
    <w:p>
      <w:pPr>
        <w:pStyle w:val="Compact"/>
        <w:numPr>
          <w:ilvl w:val="0"/>
          <w:numId w:val="1085"/>
        </w:numPr>
      </w:pPr>
      <w:r>
        <w:t xml:space="preserve">technical documentation regarding the algorithm used to generate the backscatter estimates is expressed as URLs or DOIs</w:t>
      </w:r>
    </w:p>
    <w:p>
      <w:pPr>
        <w:pStyle w:val="Compact"/>
        <w:numPr>
          <w:ilvl w:val="0"/>
          <w:numId w:val="1085"/>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w:t>
      </w:r>
    </w:p>
    <w:p>
      <w:pPr>
        <w:pStyle w:val="Compact"/>
        <w:numPr>
          <w:ilvl w:val="0"/>
          <w:numId w:val="1086"/>
        </w:numPr>
      </w:pPr>
      <w:r>
        <w:t xml:space="preserve">Examples of technical documentation include an Algorithm, Theoretical Basis Document, product user guide, etc.</w:t>
      </w:r>
    </w:p>
    <w:bookmarkEnd w:id="235"/>
    <w:bookmarkStart w:id="236" w:name="assessment-49"/>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6"/>
    <w:bookmarkEnd w:id="237"/>
    <w:bookmarkStart w:id="241"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9"/>
    <w:bookmarkStart w:id="240" w:name="assessment-50"/>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40"/>
    <w:bookmarkEnd w:id="241"/>
    <w:bookmarkEnd w:id="242"/>
    <w:bookmarkStart w:id="26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6"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43" w:name="threshold-requirements-51"/>
    <w:p>
      <w:pPr>
        <w:pStyle w:val="berschrift5"/>
      </w:pPr>
      <w:r>
        <w:t xml:space="preserve">Threshold requirements:</w:t>
      </w:r>
    </w:p>
    <w:p>
      <w:pPr>
        <w:pStyle w:val="FirstParagraph"/>
      </w:pPr>
      <w:r>
        <w:t xml:space="preserve">Not required.</w:t>
      </w:r>
      <w:r>
        <w:t xml:space="preserve"> </w:t>
      </w:r>
    </w:p>
    <w:bookmarkEnd w:id="243"/>
    <w:bookmarkStart w:id="244" w:name="goal-requirements-51"/>
    <w:p>
      <w:pPr>
        <w:pStyle w:val="berschrift5"/>
      </w:pPr>
      <w:r>
        <w:t xml:space="preserve">Goal requirements:</w:t>
      </w:r>
    </w:p>
    <w:p>
      <w:pPr>
        <w:pStyle w:val="FirstParagraph"/>
      </w:pPr>
      <w:r>
        <w:t xml:space="preserve">Metadata references, e.g.:</w:t>
      </w:r>
    </w:p>
    <w:p>
      <w:pPr>
        <w:pStyle w:val="Compact"/>
        <w:numPr>
          <w:ilvl w:val="0"/>
          <w:numId w:val="1089"/>
        </w:numPr>
      </w:pPr>
      <w:r>
        <w:t xml:space="preserve">A metadata citable peer-reviewed algorithm</w:t>
      </w:r>
    </w:p>
    <w:p>
      <w:pPr>
        <w:pStyle w:val="Compact"/>
        <w:numPr>
          <w:ilvl w:val="0"/>
          <w:numId w:val="1089"/>
        </w:numPr>
      </w:pPr>
      <w:r>
        <w:t xml:space="preserve">Technical documentation regarding the implementation of that algorithm expressed as URLs or DOIs</w:t>
      </w:r>
    </w:p>
    <w:p>
      <w:pPr>
        <w:pStyle w:val="Compact"/>
        <w:numPr>
          <w:ilvl w:val="0"/>
          <w:numId w:val="1089"/>
        </w:numPr>
      </w:pPr>
      <w:r>
        <w:t xml:space="preserve">The sources of auxiliary data used to make corrections</w:t>
      </w:r>
    </w:p>
    <w:p>
      <w:pPr>
        <w:pStyle w:val="Compact"/>
        <w:numPr>
          <w:ilvl w:val="0"/>
          <w:numId w:val="1089"/>
        </w:numPr>
      </w:pPr>
      <w:r>
        <w:t xml:space="preserve">Resampling method used for geometric processing of the source data</w:t>
      </w:r>
    </w:p>
    <w:p>
      <w:pPr>
        <w:pStyle w:val="FirstParagraph"/>
      </w:pPr>
      <w:r>
        <w:t xml:space="preserve">Note:</w:t>
      </w:r>
    </w:p>
    <w:p>
      <w:pPr>
        <w:pStyle w:val="Compact"/>
        <w:numPr>
          <w:ilvl w:val="0"/>
          <w:numId w:val="1090"/>
        </w:numPr>
      </w:pPr>
      <w:r>
        <w:t xml:space="preserve">Examples of technical documentation can include e.g., an Algorithm Theoretical Basis Document (ATBD) or a product user guide.</w:t>
      </w:r>
    </w:p>
    <w:bookmarkEnd w:id="244"/>
    <w:bookmarkStart w:id="245"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5"/>
    <w:bookmarkEnd w:id="246"/>
    <w:bookmarkStart w:id="250"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47" w:name="threshold-requirements-52"/>
    <w:p>
      <w:pPr>
        <w:pStyle w:val="berschrift5"/>
      </w:pPr>
      <w:r>
        <w:t xml:space="preserve">Threshold requirements:</w:t>
      </w:r>
    </w:p>
    <w:p>
      <w:pPr>
        <w:pStyle w:val="Compact"/>
        <w:numPr>
          <w:ilvl w:val="0"/>
          <w:numId w:val="1092"/>
        </w:numPr>
      </w:pPr>
      <w:r>
        <w:t xml:space="preserve">During ortho-rectification, the data provider shall use the same DEM that was used for the radiometric terrain flattening to ensure consistency of the data stack.</w:t>
      </w:r>
    </w:p>
    <w:p>
      <w:pPr>
        <w:pStyle w:val="Compact"/>
        <w:numPr>
          <w:ilvl w:val="0"/>
          <w:numId w:val="1092"/>
        </w:numPr>
      </w:pPr>
      <w:r>
        <w:t xml:space="preserve">Provide reference to Digital Elevation Model used for geometric terrain correction.</w:t>
      </w:r>
    </w:p>
    <w:p>
      <w:pPr>
        <w:pStyle w:val="Compact"/>
        <w:numPr>
          <w:ilvl w:val="0"/>
          <w:numId w:val="1092"/>
        </w:numPr>
      </w:pPr>
      <w:r>
        <w:t xml:space="preserve">Provide reference to Earth Gravitational Model (EGM) used for geometric correction.</w:t>
      </w:r>
    </w:p>
    <w:bookmarkEnd w:id="247"/>
    <w:bookmarkStart w:id="248" w:name="goal-requirements-52"/>
    <w:p>
      <w:pPr>
        <w:pStyle w:val="berschrift5"/>
      </w:pPr>
      <w:r>
        <w:t xml:space="preserve">Goal requirements:</w:t>
      </w:r>
    </w:p>
    <w:p>
      <w:pPr>
        <w:pStyle w:val="Compact"/>
        <w:numPr>
          <w:ilvl w:val="0"/>
          <w:numId w:val="109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3"/>
        </w:numPr>
      </w:pPr>
      <w:r>
        <w:t xml:space="preserve">Resampling method used for preparation of the DEM.</w:t>
      </w:r>
    </w:p>
    <w:p>
      <w:pPr>
        <w:pStyle w:val="Compact"/>
        <w:numPr>
          <w:ilvl w:val="0"/>
          <w:numId w:val="1093"/>
        </w:numPr>
      </w:pPr>
      <w:r>
        <w:t xml:space="preserve">Method used for resampling the EGM.</w:t>
      </w:r>
    </w:p>
    <w:bookmarkEnd w:id="248"/>
    <w:bookmarkStart w:id="249"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49"/>
    <w:bookmarkEnd w:id="250"/>
    <w:bookmarkStart w:id="254"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51"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5"/>
        </w:numPr>
      </w:pPr>
      <w:r>
        <w:t xml:space="preserve">The ALE is not typically assessed for every processed image, but through an ALE assessment by the data processing team characterizing all or (usually a subset) of the generated products.</w:t>
      </w:r>
    </w:p>
    <w:bookmarkEnd w:id="251"/>
    <w:bookmarkStart w:id="252"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2"/>
    <w:bookmarkStart w:id="253"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3"/>
    <w:bookmarkEnd w:id="254"/>
    <w:bookmarkStart w:id="258"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55" w:name="threshold-requirements-54"/>
    <w:p>
      <w:pPr>
        <w:pStyle w:val="berschrift5"/>
      </w:pPr>
      <w:r>
        <w:t xml:space="preserve">Threshold requirements:</w:t>
      </w:r>
    </w:p>
    <w:p>
      <w:pPr>
        <w:pStyle w:val="FirstParagraph"/>
      </w:pPr>
      <w:r>
        <w:t xml:space="preserve">Not required.</w:t>
      </w:r>
      <w:r>
        <w:t xml:space="preserve"> </w:t>
      </w:r>
    </w:p>
    <w:bookmarkEnd w:id="255"/>
    <w:bookmarkStart w:id="256" w:name="goal-requirements-54"/>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6"/>
    <w:bookmarkStart w:id="257" w:name="assessment-54"/>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57"/>
    <w:bookmarkEnd w:id="258"/>
    <w:bookmarkStart w:id="262"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59"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8"/>
        </w:numPr>
      </w:pPr>
      <w:r>
        <w:t xml:space="preserve">If a product hierarchy of resolutions exists (or is planned), the multiple resolutions should nest within each other (e.g., 12.5m, 25m, 50m, 100m, etc.), and not be disjoint.</w:t>
      </w:r>
    </w:p>
    <w:bookmarkEnd w:id="259"/>
    <w:bookmarkStart w:id="260"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60"/>
    <w:bookmarkStart w:id="261" w:name="assessment-55"/>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br w:type="page"/>
      </w:r>
    </w:p>
    <w:bookmarkEnd w:id="261"/>
    <w:bookmarkEnd w:id="262"/>
    <w:bookmarkEnd w:id="263"/>
    <w:bookmarkEnd w:id="264"/>
    <w:bookmarkStart w:id="271" w:name="summary-self-assessment-table"/>
    <w:p>
      <w:pPr>
        <w:pStyle w:val="berschrift2"/>
      </w:pPr>
      <w:r>
        <w:t xml:space="preserve">Summary Self-Assessment Table</w:t>
      </w:r>
    </w:p>
    <w:bookmarkStart w:id="26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5"/>
    <w:bookmarkStart w:id="26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6"/>
    <w:bookmarkStart w:id="26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prd-slarass</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7"/>
    <w:bookmarkStart w:id="26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8"/>
    <w:bookmarkStart w:id="26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9"/>
    <w:bookmarkStart w:id="270"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70"/>
    <w:bookmarkEnd w:id="271"/>
    <w:bookmarkStart w:id="27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2"/>
    <w:bookmarkStart w:id="27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0"/>
        </w:numPr>
      </w:pPr>
      <w:r>
        <w:t xml:space="preserve">that product has been assessed as meeting CEOS-ARD requirements by the agency responsible for production and distribution of the product, and</w:t>
      </w:r>
    </w:p>
    <w:p>
      <w:pPr>
        <w:pStyle w:val="Compact"/>
        <w:numPr>
          <w:ilvl w:val="0"/>
          <w:numId w:val="110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4"/>
    <w:bookmarkStart w:id="27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5"/>
    <w:bookmarkEnd w:id="276"/>
    <w:bookmarkStart w:id="295" w:name="references"/>
    <w:p>
      <w:pPr>
        <w:pStyle w:val="berschrift2"/>
      </w:pPr>
      <w:r>
        <w:t xml:space="preserve">References</w:t>
      </w:r>
    </w:p>
    <w:bookmarkStart w:id="294" w:name="refs"/>
    <w:bookmarkStart w:id="27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7"/>
    <w:bookmarkStart w:id="27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8">
        <w:r>
          <w:rPr>
            <w:rStyle w:val="Hyperlink"/>
          </w:rPr>
          <w:t xml:space="preserve">https://doi.org/10.1109/TGRS.2008.2002881</w:t>
        </w:r>
      </w:hyperlink>
      <w:r>
        <w:t xml:space="preserve">.</w:t>
      </w:r>
    </w:p>
    <w:bookmarkEnd w:id="279"/>
    <w:bookmarkStart w:id="28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80">
        <w:r>
          <w:rPr>
            <w:rStyle w:val="Hyperlink"/>
          </w:rPr>
          <w:t xml:space="preserve">https://doi.org/10.1029/2011JE003986</w:t>
        </w:r>
      </w:hyperlink>
      <w:r>
        <w:t xml:space="preserve">.</w:t>
      </w:r>
    </w:p>
    <w:bookmarkEnd w:id="281"/>
    <w:bookmarkStart w:id="28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2">
        <w:r>
          <w:rPr>
            <w:rStyle w:val="Hyperlink"/>
          </w:rPr>
          <w:t xml:space="preserve">https://doi.org/10.1109/TGRS.2022.3147472</w:t>
        </w:r>
      </w:hyperlink>
      <w:r>
        <w:t xml:space="preserve">.</w:t>
      </w:r>
    </w:p>
    <w:bookmarkEnd w:id="283"/>
    <w:bookmarkStart w:id="28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4">
        <w:r>
          <w:rPr>
            <w:rStyle w:val="Hyperlink"/>
          </w:rPr>
          <w:t xml:space="preserve">https://doi.org/10.1109/TGRS.2011.2120616</w:t>
        </w:r>
      </w:hyperlink>
      <w:r>
        <w:t xml:space="preserve">.</w:t>
      </w:r>
    </w:p>
    <w:bookmarkEnd w:id="285"/>
    <w:bookmarkStart w:id="287"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6">
        <w:r>
          <w:rPr>
            <w:rStyle w:val="Hyperlink"/>
          </w:rPr>
          <w:t xml:space="preserve">https://doi.org/10.1109/TGRS.2010.2099124</w:t>
        </w:r>
      </w:hyperlink>
      <w:r>
        <w:t xml:space="preserve">.</w:t>
      </w:r>
    </w:p>
    <w:bookmarkEnd w:id="287"/>
    <w:bookmarkStart w:id="289"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8">
        <w:r>
          <w:rPr>
            <w:rStyle w:val="Hyperlink"/>
          </w:rPr>
          <w:t xml:space="preserve">https://doi.org/10.1109/LGRS.2017.2753580</w:t>
        </w:r>
      </w:hyperlink>
      <w:r>
        <w:t xml:space="preserve">.</w:t>
      </w:r>
    </w:p>
    <w:bookmarkEnd w:id="289"/>
    <w:bookmarkStart w:id="291"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0">
        <w:r>
          <w:rPr>
            <w:rStyle w:val="Hyperlink"/>
          </w:rPr>
          <w:t xml:space="preserve">https://doi.org/10.1109/TGRS.2010.2051333</w:t>
        </w:r>
      </w:hyperlink>
      <w:r>
        <w:t xml:space="preserve">.</w:t>
      </w:r>
    </w:p>
    <w:bookmarkEnd w:id="291"/>
    <w:bookmarkStart w:id="293"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2">
        <w:r>
          <w:rPr>
            <w:rStyle w:val="Hyperlink"/>
          </w:rPr>
          <w:t xml:space="preserve">https://doi.org/10.1109/JSTARS.2017.2697861</w:t>
        </w:r>
      </w:hyperlink>
      <w:r>
        <w:t xml:space="preserve">.</w:t>
      </w:r>
    </w:p>
    <w:bookmarkEnd w:id="293"/>
    <w:bookmarkEnd w:id="294"/>
    <w:p>
      <w:r>
        <w:br w:type="page"/>
      </w:r>
    </w:p>
    <w:bookmarkEnd w:id="295"/>
    <w:bookmarkStart w:id="349" w:name="annexes"/>
    <w:p>
      <w:pPr>
        <w:pStyle w:val="berschrift2"/>
      </w:pPr>
      <w:r>
        <w:t xml:space="preserve">Annexes</w:t>
      </w:r>
    </w:p>
    <w:bookmarkStart w:id="297"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1"/>
        </w:numPr>
      </w:pPr>
      <w:r>
        <w:t xml:space="preserve">Apply instrument calibration to produce Beta-Nought values with high fidelity.</w:t>
      </w:r>
    </w:p>
    <w:p>
      <w:pPr>
        <w:pStyle w:val="Compact"/>
        <w:numPr>
          <w:ilvl w:val="0"/>
          <w:numId w:val="110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1"/>
        </w:numPr>
      </w:pPr>
      <w:r>
        <w:t xml:space="preserve">Generate CEOS format metadata to accompany product layers.</w:t>
      </w:r>
    </w:p>
    <w:p>
      <w:pPr>
        <w:pStyle w:val="Compact"/>
        <w:numPr>
          <w:ilvl w:val="0"/>
          <w:numId w:val="110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6"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6"/>
    <w:bookmarkEnd w:id="297"/>
    <w:bookmarkStart w:id="309"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8"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8"/>
    </w:p>
    <w:p>
      <w:pPr>
        <w:pStyle w:val="FirstParagraph"/>
      </w:pPr>
      <w:r>
        <w:t xml:space="preserve">Where</w:t>
      </w:r>
    </w:p>
    <w:p>
      <w:pPr>
        <w:pStyle w:val="Textkrper"/>
      </w:pPr>
      <w:bookmarkStart w:id="299"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9"/>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2"/>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2"/>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300"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300"/>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1"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1"/>
    </w:p>
    <w:p>
      <w:pPr>
        <w:pStyle w:val="FirstParagraph"/>
      </w:pPr>
      <w:bookmarkStart w:id="302"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2"/>
    </w:p>
    <w:p>
      <w:pPr>
        <w:pStyle w:val="FirstParagraph"/>
      </w:pPr>
      <w:r>
        <w:t xml:space="preserve">The differential phase is</w:t>
      </w:r>
    </w:p>
    <w:p>
      <w:pPr>
        <w:pStyle w:val="Textkrper"/>
      </w:pPr>
      <w:bookmarkStart w:id="303"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3"/>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4"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4"/>
    </w:p>
    <w:p>
      <w:pPr>
        <w:pStyle w:val="FirstParagraph"/>
      </w:pPr>
      <w:bookmarkStart w:id="305"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5"/>
    </w:p>
    <w:p>
      <w:pPr>
        <w:pStyle w:val="FirstParagraph"/>
      </w:pPr>
      <w:bookmarkStart w:id="306"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6"/>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7"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7"/>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8"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8"/>
    </w:p>
    <w:bookmarkEnd w:id="309"/>
    <w:bookmarkStart w:id="316"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10"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10"/>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1"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1"/>
    </w:p>
    <w:p>
      <w:pPr>
        <w:pStyle w:val="FirstParagraph"/>
      </w:pPr>
      <w:bookmarkStart w:id="312"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2"/>
    </w:p>
    <w:p>
      <w:pPr>
        <w:pStyle w:val="FirstParagraph"/>
      </w:pPr>
      <w:bookmarkStart w:id="313"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3"/>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4"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4"/>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5"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5"/>
    </w:p>
    <w:bookmarkEnd w:id="316"/>
    <w:bookmarkStart w:id="348"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7"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7"/>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8"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8"/>
    </w:p>
    <w:p>
      <w:pPr>
        <w:pStyle w:val="FirstParagraph"/>
      </w:pPr>
      <w:r>
        <w:t xml:space="preserve">Some advanced NRB or POL products could include per-pixel</w:t>
      </w:r>
      <w:r>
        <w:t xml:space="preserve"> </w:t>
      </w:r>
      <w:r>
        <w:t xml:space="preserve">“Flattened Phase”</w:t>
      </w:r>
      <w:r>
        <w:t xml:space="preserve"> </w:t>
      </w:r>
      <w:r>
        <w:t xml:space="preserve">data.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9"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9"/>
    </w:p>
    <w:p>
      <w:pPr>
        <w:pStyle w:val="FirstParagraph"/>
      </w:pPr>
      <w:r>
        <w:t xml:space="preserve">The following figures show Sentinel-1 GSLC product examples over Death Valley National Park, California, US:</w:t>
      </w:r>
    </w:p>
    <w:bookmarkStart w:id="323" w:name="fig:sar-gslc-example-fig1a"/>
    <w:p>
      <w:pPr>
        <w:pStyle w:val="CaptionedFigure"/>
      </w:pPr>
      <w:r>
        <w:drawing>
          <wp:inline>
            <wp:extent cx="3419475" cy="1743075"/>
            <wp:effectExtent b="0" l="0" r="0" t="0"/>
            <wp:docPr descr="Figure 1: GSLC1: Intensity data of the first GSLC product (2017-05-27)" title="" id="321" name="Picture"/>
            <a:graphic>
              <a:graphicData uri="http://schemas.openxmlformats.org/drawingml/2006/picture">
                <pic:pic>
                  <pic:nvPicPr>
                    <pic:cNvPr descr="assets/sar-gslc-example/S1-GSLC1.jpeg" id="322" name="Picture"/>
                    <pic:cNvPicPr>
                      <a:picLocks noChangeArrowheads="1" noChangeAspect="1"/>
                    </pic:cNvPicPr>
                  </pic:nvPicPr>
                  <pic:blipFill>
                    <a:blip r:embed="rId320"/>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3"/>
    <w:bookmarkStart w:id="327" w:name="fig:sar-gslc-example-fig1b"/>
    <w:p>
      <w:pPr>
        <w:pStyle w:val="CaptionedFigure"/>
      </w:pPr>
      <w:r>
        <w:drawing>
          <wp:inline>
            <wp:extent cx="3419475" cy="1666875"/>
            <wp:effectExtent b="0" l="0" r="0" t="0"/>
            <wp:docPr descr="Figure 2: GSLC2: Intensity data of the second GSLC product (2017-06-08)" title="" id="325" name="Picture"/>
            <a:graphic>
              <a:graphicData uri="http://schemas.openxmlformats.org/drawingml/2006/picture">
                <pic:pic>
                  <pic:nvPicPr>
                    <pic:cNvPr descr="assets/sar-gslc-example/S1-GSLC2.jpeg" id="326" name="Picture"/>
                    <pic:cNvPicPr>
                      <a:picLocks noChangeArrowheads="1" noChangeAspect="1"/>
                    </pic:cNvPicPr>
                  </pic:nvPicPr>
                  <pic:blipFill>
                    <a:blip r:embed="rId324"/>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7"/>
    <w:bookmarkStart w:id="331" w:name="fig:sar-gslc-example-fig1c"/>
    <w:p>
      <w:pPr>
        <w:pStyle w:val="CaptionedFigure"/>
      </w:pPr>
      <w:r>
        <w:drawing>
          <wp:inline>
            <wp:extent cx="3810000" cy="2540000"/>
            <wp:effectExtent b="0" l="0" r="0" t="0"/>
            <wp:docPr descr="Figure 3: InSAR coherence map generated directly from Figure 1 and Figure 2" title="" id="329" name="Picture"/>
            <a:graphic>
              <a:graphicData uri="http://schemas.openxmlformats.org/drawingml/2006/picture">
                <pic:pic>
                  <pic:nvPicPr>
                    <pic:cNvPr descr="assets/sar-gslc-example/S1-InSAR-coherence.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1"/>
    <w:bookmarkStart w:id="335" w:name="fig:sar-gslc-example-fig1d"/>
    <w:p>
      <w:pPr>
        <w:pStyle w:val="CaptionedFigure"/>
      </w:pPr>
      <w:r>
        <w:drawing>
          <wp:inline>
            <wp:extent cx="3810000" cy="2540000"/>
            <wp:effectExtent b="0" l="0" r="0" t="0"/>
            <wp:docPr descr="Figure 4: InSAR differential phase map generated directly from Figure 1 and Figure 2" title="" id="333" name="Picture"/>
            <a:graphic>
              <a:graphicData uri="http://schemas.openxmlformats.org/drawingml/2006/picture">
                <pic:pic>
                  <pic:nvPicPr>
                    <pic:cNvPr descr="assets/sar-gslc-example/S1-InSAR-differential-phase.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5"/>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9" w:name="fig:sar-gslc-example-fig2a"/>
    <w:p>
      <w:pPr>
        <w:pStyle w:val="CaptionedFigure"/>
      </w:pPr>
      <w:r>
        <w:drawing>
          <wp:inline>
            <wp:extent cx="3810000" cy="2540000"/>
            <wp:effectExtent b="0" l="0" r="0" t="0"/>
            <wp:docPr descr="Figure 5: x unit component" title="" id="337" name="Picture"/>
            <a:graphic>
              <a:graphicData uri="http://schemas.openxmlformats.org/drawingml/2006/picture">
                <pic:pic>
                  <pic:nvPicPr>
                    <pic:cNvPr descr="assets/sar-gslc-example/S1-GSLC-x-component.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9"/>
    <w:bookmarkStart w:id="343" w:name="fig:sar-gslc-example-fig2b"/>
    <w:p>
      <w:pPr>
        <w:pStyle w:val="CaptionedFigure"/>
      </w:pPr>
      <w:r>
        <w:drawing>
          <wp:inline>
            <wp:extent cx="3810000" cy="2540000"/>
            <wp:effectExtent b="0" l="0" r="0" t="0"/>
            <wp:docPr descr="Figure 6: y unit component" title="" id="341" name="Picture"/>
            <a:graphic>
              <a:graphicData uri="http://schemas.openxmlformats.org/drawingml/2006/picture">
                <pic:pic>
                  <pic:nvPicPr>
                    <pic:cNvPr descr="assets/sar-gslc-example/S1-GSLC-y-component.png" id="342" name="Picture"/>
                    <pic:cNvPicPr>
                      <a:picLocks noChangeArrowheads="1" noChangeAspect="1"/>
                    </pic:cNvPicPr>
                  </pic:nvPicPr>
                  <pic:blipFill>
                    <a:blip r:embed="rId3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3"/>
    <w:bookmarkStart w:id="347" w:name="fig:sar-gslc-example-fig2c"/>
    <w:p>
      <w:pPr>
        <w:pStyle w:val="CaptionedFigure"/>
      </w:pPr>
      <w:r>
        <w:drawing>
          <wp:inline>
            <wp:extent cx="3810000" cy="2540000"/>
            <wp:effectExtent b="0" l="0" r="0" t="0"/>
            <wp:docPr descr="Figure 7: z unit component" title="" id="345" name="Picture"/>
            <a:graphic>
              <a:graphicData uri="http://schemas.openxmlformats.org/drawingml/2006/picture">
                <pic:pic>
                  <pic:nvPicPr>
                    <pic:cNvPr descr="assets/sar-gslc-example/S1-GSLC-z-component.png" id="346" name="Picture"/>
                    <pic:cNvPicPr>
                      <a:picLocks noChangeArrowheads="1" noChangeAspect="1"/>
                    </pic:cNvPicPr>
                  </pic:nvPicPr>
                  <pic:blipFill>
                    <a:blip r:embed="rId34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7"/>
    <w:bookmarkEnd w:id="348"/>
    <w:bookmarkEnd w:id="349"/>
    <w:bookmarkEnd w:id="350"/>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4" Target="media/rId344.png" /><Relationship Type="http://schemas.openxmlformats.org/officeDocument/2006/relationships/image" Id="rId320" Target="media/rId320.jpg" /><Relationship Type="http://schemas.openxmlformats.org/officeDocument/2006/relationships/image" Id="rId324" Target="media/rId324.jpg" /><Relationship Type="http://schemas.openxmlformats.org/officeDocument/2006/relationships/image" Id="rId328" Target="media/rId328.png" /><Relationship Type="http://schemas.openxmlformats.org/officeDocument/2006/relationships/image" Id="rId332" Target="media/rId332.png" /><Relationship Type="http://schemas.openxmlformats.org/officeDocument/2006/relationships/hyperlink" Id="rId273"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80" Target="https://doi.org/10.1029/2011JE003986" TargetMode="External" /><Relationship Type="http://schemas.openxmlformats.org/officeDocument/2006/relationships/hyperlink" Id="rId292" Target="https://doi.org/10.1109/JSTARS.2017.2697861" TargetMode="External" /><Relationship Type="http://schemas.openxmlformats.org/officeDocument/2006/relationships/hyperlink" Id="rId288" Target="https://doi.org/10.1109/LGRS.2017.2753580" TargetMode="External" /><Relationship Type="http://schemas.openxmlformats.org/officeDocument/2006/relationships/hyperlink" Id="rId278"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4" Target="https://doi.org/10.1109/TGRS.2011.2120616" TargetMode="External" /><Relationship Type="http://schemas.openxmlformats.org/officeDocument/2006/relationships/hyperlink" Id="rId28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3"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80" Target="https://doi.org/10.1029/2011JE003986" TargetMode="External" /><Relationship Type="http://schemas.openxmlformats.org/officeDocument/2006/relationships/hyperlink" Id="rId292" Target="https://doi.org/10.1109/JSTARS.2017.2697861" TargetMode="External" /><Relationship Type="http://schemas.openxmlformats.org/officeDocument/2006/relationships/hyperlink" Id="rId288" Target="https://doi.org/10.1109/LGRS.2017.2753580" TargetMode="External" /><Relationship Type="http://schemas.openxmlformats.org/officeDocument/2006/relationships/hyperlink" Id="rId278"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4" Target="https://doi.org/10.1109/TGRS.2011.2120616" TargetMode="External" /><Relationship Type="http://schemas.openxmlformats.org/officeDocument/2006/relationships/hyperlink" Id="rId28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1.1.0-draft</dc:title>
  <dc:creator/>
  <dc:language>en</dc:language>
  <cp:keywords/>
  <dcterms:created xsi:type="dcterms:W3CDTF">2026-04-20T13:00:27Z</dcterms:created>
  <dcterms:modified xsi:type="dcterms:W3CDTF">2026-04-20T13:00:27Z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