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19.jpg" ContentType="image/jpeg"/>
  <Override PartName="/word/media/rId3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5"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0"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backsca-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202"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88" w:name="references"/>
    <w:p>
      <w:pPr>
        <w:pStyle w:val="berschrift2"/>
      </w:pPr>
      <w:r>
        <w:t xml:space="preserve">References</w:t>
      </w:r>
    </w:p>
    <w:bookmarkStart w:id="287" w:name="refs"/>
    <w:bookmarkStart w:id="262"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1">
        <w:r>
          <w:rPr>
            <w:rStyle w:val="Hyperlink"/>
          </w:rPr>
          <w:t xml:space="preserve">https://doi.org/10.1109/36.499784</w:t>
        </w:r>
      </w:hyperlink>
      <w:r>
        <w:t xml:space="preserve">.</w:t>
      </w:r>
    </w:p>
    <w:bookmarkEnd w:id="262"/>
    <w:bookmarkStart w:id="264"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3">
        <w:r>
          <w:rPr>
            <w:rStyle w:val="Hyperlink"/>
          </w:rPr>
          <w:t xml:space="preserve">https://doi.org/10.1109/36.485127</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9"/>
    <w:bookmarkStart w:id="270"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0"/>
    <w:bookmarkStart w:id="27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1">
        <w:r>
          <w:rPr>
            <w:rStyle w:val="Hyperlink"/>
          </w:rPr>
          <w:t xml:space="preserve">https://doi.org/10.1109/TGRS.2008.2002881</w:t>
        </w:r>
      </w:hyperlink>
      <w:r>
        <w:t xml:space="preserve">.</w:t>
      </w:r>
    </w:p>
    <w:bookmarkEnd w:id="272"/>
    <w:bookmarkStart w:id="27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3">
        <w:r>
          <w:rPr>
            <w:rStyle w:val="Hyperlink"/>
          </w:rPr>
          <w:t xml:space="preserve">https://doi.org/10.1029/2011JE003986</w:t>
        </w:r>
      </w:hyperlink>
      <w:r>
        <w:t xml:space="preserve">.</w:t>
      </w:r>
    </w:p>
    <w:bookmarkEnd w:id="274"/>
    <w:bookmarkStart w:id="27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5">
        <w:r>
          <w:rPr>
            <w:rStyle w:val="Hyperlink"/>
          </w:rPr>
          <w:t xml:space="preserve">https://doi.org/10.1109/TGRS.2022.3147472</w:t>
        </w:r>
      </w:hyperlink>
      <w:r>
        <w:t xml:space="preserve">.</w:t>
      </w:r>
    </w:p>
    <w:bookmarkEnd w:id="276"/>
    <w:bookmarkStart w:id="27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7">
        <w:r>
          <w:rPr>
            <w:rStyle w:val="Hyperlink"/>
          </w:rPr>
          <w:t xml:space="preserve">https://doi.org/10.1109/TGRS.2011.2120616</w:t>
        </w:r>
      </w:hyperlink>
      <w:r>
        <w:t xml:space="preserve">.</w:t>
      </w:r>
    </w:p>
    <w:bookmarkEnd w:id="278"/>
    <w:bookmarkStart w:id="280"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79">
        <w:r>
          <w:rPr>
            <w:rStyle w:val="Hyperlink"/>
          </w:rPr>
          <w:t xml:space="preserve">https://doi.org/10.1109/TGRS.2012.2233206</w:t>
        </w:r>
      </w:hyperlink>
      <w:r>
        <w:t xml:space="preserve">.</w:t>
      </w:r>
    </w:p>
    <w:bookmarkEnd w:id="280"/>
    <w:bookmarkStart w:id="28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1">
        <w:r>
          <w:rPr>
            <w:rStyle w:val="Hyperlink"/>
          </w:rPr>
          <w:t xml:space="preserve">https://doi.org/10.1109/TGRS.2010.2099124</w:t>
        </w:r>
      </w:hyperlink>
      <w:r>
        <w:t xml:space="preserve">.</w:t>
      </w:r>
    </w:p>
    <w:bookmarkEnd w:id="282"/>
    <w:bookmarkStart w:id="28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3">
        <w:r>
          <w:rPr>
            <w:rStyle w:val="Hyperlink"/>
          </w:rPr>
          <w:t xml:space="preserve">https://doi.org/10.1109/LGRS.2017.2753580</w:t>
        </w:r>
      </w:hyperlink>
      <w:r>
        <w:t xml:space="preserve">.</w:t>
      </w:r>
    </w:p>
    <w:bookmarkEnd w:id="284"/>
    <w:bookmarkStart w:id="28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5">
        <w:r>
          <w:rPr>
            <w:rStyle w:val="Hyperlink"/>
          </w:rPr>
          <w:t xml:space="preserve">https://doi.org/10.1109/TGRS.2010.2051333</w:t>
        </w:r>
      </w:hyperlink>
      <w:r>
        <w:t xml:space="preserve">.</w:t>
      </w:r>
    </w:p>
    <w:bookmarkEnd w:id="286"/>
    <w:bookmarkEnd w:id="287"/>
    <w:p>
      <w:r>
        <w:br w:type="page"/>
      </w:r>
    </w:p>
    <w:bookmarkEnd w:id="288"/>
    <w:bookmarkStart w:id="324" w:name="annexes"/>
    <w:p>
      <w:pPr>
        <w:pStyle w:val="berschrift2"/>
      </w:pPr>
      <w:r>
        <w:t xml:space="preserve">Annexes</w:t>
      </w:r>
    </w:p>
    <w:bookmarkStart w:id="29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9"/>
    <w:bookmarkEnd w:id="290"/>
    <w:bookmarkStart w:id="30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1"/>
    </w:p>
    <w:p>
      <w:pPr>
        <w:pStyle w:val="FirstParagraph"/>
      </w:pPr>
      <w:r>
        <w:t xml:space="preserve">Where</w:t>
      </w:r>
    </w:p>
    <w:p>
      <w:pPr>
        <w:pStyle w:val="Textkrper"/>
      </w:pPr>
      <w:bookmarkStart w:id="29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4"/>
    </w:p>
    <w:p>
      <w:pPr>
        <w:pStyle w:val="FirstParagraph"/>
      </w:pPr>
      <w:bookmarkStart w:id="29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5"/>
    </w:p>
    <w:p>
      <w:pPr>
        <w:pStyle w:val="FirstParagraph"/>
      </w:pPr>
      <w:r>
        <w:t xml:space="preserve">The differential phase is</w:t>
      </w:r>
    </w:p>
    <w:p>
      <w:pPr>
        <w:pStyle w:val="Textkrper"/>
      </w:pPr>
      <w:bookmarkStart w:id="29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7"/>
    </w:p>
    <w:p>
      <w:pPr>
        <w:pStyle w:val="FirstParagraph"/>
      </w:pPr>
      <w:bookmarkStart w:id="29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8"/>
    </w:p>
    <w:p>
      <w:pPr>
        <w:pStyle w:val="FirstParagraph"/>
      </w:pPr>
      <w:bookmarkStart w:id="29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1"/>
    </w:p>
    <w:bookmarkEnd w:id="302"/>
    <w:bookmarkStart w:id="30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4"/>
    </w:p>
    <w:p>
      <w:pPr>
        <w:pStyle w:val="FirstParagraph"/>
      </w:pPr>
      <w:bookmarkStart w:id="30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5"/>
    </w:p>
    <w:p>
      <w:pPr>
        <w:pStyle w:val="FirstParagraph"/>
      </w:pPr>
      <w:bookmarkStart w:id="30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8"/>
    </w:p>
    <w:bookmarkEnd w:id="309"/>
    <w:bookmarkStart w:id="314"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1"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sSup>
          <m:e>
            <m:d>
              <m:dPr>
                <m:begChr m:val="|"/>
                <m:sepChr m:val=""/>
                <m:endChr m:val="|"/>
                <m:grow/>
              </m:dPr>
              <m:e>
                <m:r>
                  <m:t>α</m:t>
                </m:r>
              </m:e>
            </m:d>
          </m:e>
          <m:sup>
            <m:r>
              <m:t>2</m:t>
            </m:r>
          </m:sup>
        </m:sSup>
      </m:oMath>
      <w:r>
        <w:t xml:space="preserve">: sphere (odd-bounce interaction) [Intensity]</w:t>
      </w:r>
    </w:p>
    <w:p>
      <w:pPr>
        <w:pStyle w:val="Compact"/>
        <w:numPr>
          <w:ilvl w:val="0"/>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8"/>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100"/>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100"/>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100"/>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0"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0"/>
    <w:bookmarkEnd w:id="311"/>
    <w:bookmarkStart w:id="313"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2"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2"/>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3"/>
    <w:bookmarkEnd w:id="314"/>
    <w:bookmarkStart w:id="323"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8"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6" name="Picture"/>
            <a:graphic>
              <a:graphicData uri="http://schemas.openxmlformats.org/drawingml/2006/picture">
                <pic:pic>
                  <pic:nvPicPr>
                    <pic:cNvPr descr="assets/sar-pol-examples/pol-decomposition.jpeg" id="317" name="Picture"/>
                    <pic:cNvPicPr>
                      <a:picLocks noChangeArrowheads="1" noChangeAspect="1"/>
                    </pic:cNvPicPr>
                  </pic:nvPicPr>
                  <pic:blipFill>
                    <a:blip r:embed="rId315"/>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8"/>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2"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0" name="Picture"/>
            <a:graphic>
              <a:graphicData uri="http://schemas.openxmlformats.org/drawingml/2006/picture">
                <pic:pic>
                  <pic:nvPicPr>
                    <pic:cNvPr descr="assets/sar-pol-examples/m-chi-decomposition.jpeg" id="321" name="Picture"/>
                    <pic:cNvPicPr>
                      <a:picLocks noChangeArrowheads="1" noChangeAspect="1"/>
                    </pic:cNvPicPr>
                  </pic:nvPicPr>
                  <pic:blipFill>
                    <a:blip r:embed="rId319"/>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19" Target="media/rId319.jpg" /><Relationship Type="http://schemas.openxmlformats.org/officeDocument/2006/relationships/image" Id="rId315" Target="media/rId315.jp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2026-04-20T13:00:35Z</dcterms:created>
  <dcterms:modified xsi:type="dcterms:W3CDTF">2026-04-20T13:00:35Z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