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06.png" ContentType="image/png"/>
  <Override PartName="/word/media/rId302.png" ContentType="image/png"/>
  <Override PartName="/word/media/rId310.png" ContentType="image/png"/>
  <Override PartName="/word/media/rId322.png" ContentType="image/png"/>
  <Override PartName="/word/media/rId314.png" ContentType="image/png"/>
  <Override PartName="/word/media/rId3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8" w:name="X405d8e65832ac294d4126c2e16ac6a514f2a68e"/>
    <w:p>
      <w:pPr>
        <w:pStyle w:val="berschrift1"/>
      </w:pPr>
      <w:r>
        <w:t xml:space="preserve">CEOS-ARD - Synthetic Aperture Radar - Ocean Radar Backscatter</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1"/>
    <w:bookmarkStart w:id="32"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32"/>
    <w:bookmarkStart w:id="33"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3"/>
    <w:bookmarkStart w:id="247"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4" w:name="threshold-requirements"/>
    <w:p>
      <w:pPr>
        <w:pStyle w:val="berschrift5"/>
      </w:pPr>
      <w:r>
        <w:t xml:space="preserve">Threshold requirements:</w:t>
      </w:r>
    </w:p>
    <w:p>
      <w:pPr>
        <w:pStyle w:val="FirstParagraph"/>
      </w:pPr>
      <w:r>
        <w:t xml:space="preserve">Not required.</w:t>
      </w:r>
      <w:r>
        <w:t xml:space="preserve"> </w:t>
      </w:r>
    </w:p>
    <w:bookmarkEnd w:id="34"/>
    <w:bookmarkStart w:id="35"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5"/>
    <w:bookmarkStart w:id="36"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6"/>
    <w:bookmarkEnd w:id="37"/>
    <w:bookmarkStart w:id="41"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8"/>
    <w:bookmarkStart w:id="39"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9"/>
    <w:bookmarkStart w:id="40"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0"/>
    <w:bookmarkEnd w:id="41"/>
    <w:bookmarkStart w:id="45"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2"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2"/>
    <w:bookmarkStart w:id="43" w:name="goal-requirements-2"/>
    <w:p>
      <w:pPr>
        <w:pStyle w:val="berschrift5"/>
      </w:pPr>
      <w:r>
        <w:t xml:space="preserve">Goal requirements:</w:t>
      </w:r>
    </w:p>
    <w:p>
      <w:pPr>
        <w:pStyle w:val="FirstParagraph"/>
      </w:pPr>
      <w:r>
        <w:t xml:space="preserve">As threshold.</w:t>
      </w:r>
      <w:r>
        <w:t xml:space="preserve"> </w:t>
      </w:r>
    </w:p>
    <w:bookmarkEnd w:id="43"/>
    <w:bookmarkStart w:id="44"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4"/>
    <w:bookmarkEnd w:id="45"/>
    <w:bookmarkStart w:id="49"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6" w:name="threshold-requirements-3"/>
    <w:p>
      <w:pPr>
        <w:pStyle w:val="berschrift5"/>
      </w:pPr>
      <w:r>
        <w:t xml:space="preserve">Threshold requirements:</w:t>
      </w:r>
    </w:p>
    <w:p>
      <w:pPr>
        <w:pStyle w:val="FirstParagraph"/>
      </w:pPr>
      <w:r>
        <w:t xml:space="preserve">Reference to CEOS-ARD PFS document as URL.</w:t>
      </w:r>
    </w:p>
    <w:bookmarkEnd w:id="46"/>
    <w:bookmarkStart w:id="47" w:name="goal-requirements-3"/>
    <w:p>
      <w:pPr>
        <w:pStyle w:val="berschrift5"/>
      </w:pPr>
      <w:r>
        <w:t xml:space="preserve">Goal requirements:</w:t>
      </w:r>
    </w:p>
    <w:p>
      <w:pPr>
        <w:pStyle w:val="FirstParagraph"/>
      </w:pPr>
      <w:r>
        <w:t xml:space="preserve">As threshold.</w:t>
      </w:r>
      <w:r>
        <w:t xml:space="preserve"> </w:t>
      </w:r>
    </w:p>
    <w:bookmarkEnd w:id="47"/>
    <w:bookmarkStart w:id="48"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8"/>
    <w:bookmarkEnd w:id="49"/>
    <w:bookmarkStart w:id="53"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0"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2"/>
    <w:bookmarkEnd w:id="53"/>
    <w:bookmarkEnd w:id="54"/>
    <w:bookmarkStart w:id="109"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8"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5"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5"/>
    <w:bookmarkStart w:id="56" w:name="goal-requirements-5"/>
    <w:p>
      <w:pPr>
        <w:pStyle w:val="berschrift5"/>
      </w:pPr>
      <w:r>
        <w:t xml:space="preserve">Goal requirements:</w:t>
      </w:r>
    </w:p>
    <w:p>
      <w:pPr>
        <w:pStyle w:val="FirstParagraph"/>
      </w:pPr>
      <w:r>
        <w:t xml:space="preserve">As threshold.</w:t>
      </w:r>
      <w:r>
        <w:t xml:space="preserve"> </w:t>
      </w:r>
    </w:p>
    <w:bookmarkEnd w:id="56"/>
    <w:bookmarkStart w:id="57"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59"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9"/>
    <w:bookmarkStart w:id="60"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0"/>
    <w:bookmarkStart w:id="61"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1"/>
    <w:bookmarkEnd w:id="62"/>
    <w:bookmarkStart w:id="67"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3"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3"/>
    <w:bookmarkStart w:id="65" w:name="goal-requirements-7"/>
    <w:p>
      <w:pPr>
        <w:pStyle w:val="berschrift5"/>
      </w:pPr>
      <w:r>
        <w:t xml:space="preserve">Goal requirements:</w:t>
      </w:r>
    </w:p>
    <w:p>
      <w:pPr>
        <w:pStyle w:val="FirstParagraph"/>
      </w:pPr>
      <w:r>
        <w:t xml:space="preserve">As threshold, but including a reference to the relevant</w:t>
      </w:r>
      <w:r>
        <w:t xml:space="preserve"> </w:t>
      </w:r>
      <w:hyperlink r:id="rId64">
        <w:r>
          <w:rPr>
            <w:rStyle w:val="Hyperlink"/>
          </w:rPr>
          <w:t xml:space="preserve">CEOS Missions, Instruments and Measurements Database</w:t>
        </w:r>
      </w:hyperlink>
      <w:r>
        <w:t xml:space="preserve"> </w:t>
      </w:r>
      <w:r>
        <w:t xml:space="preserve">record.</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68"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8"/>
    <w:bookmarkStart w:id="69" w:name="goal-requirements-8"/>
    <w:p>
      <w:pPr>
        <w:pStyle w:val="berschrift5"/>
      </w:pPr>
      <w:r>
        <w:t xml:space="preserve">Goal requirements:</w:t>
      </w:r>
    </w:p>
    <w:p>
      <w:pPr>
        <w:pStyle w:val="FirstParagraph"/>
      </w:pPr>
      <w:r>
        <w:t xml:space="preserve">As threshold.</w:t>
      </w:r>
      <w:r>
        <w:t xml:space="preserve"> </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2"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2"/>
    <w:bookmarkStart w:id="73" w:name="goal-requirements-9"/>
    <w:p>
      <w:pPr>
        <w:pStyle w:val="berschrift5"/>
      </w:pPr>
      <w:r>
        <w:t xml:space="preserve">Goal requirements:</w:t>
      </w:r>
    </w:p>
    <w:p>
      <w:pPr>
        <w:pStyle w:val="FirstParagraph"/>
      </w:pPr>
      <w:r>
        <w:t xml:space="preserve">As threshold.</w:t>
      </w:r>
      <w:r>
        <w:t xml:space="preserve"> </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80"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7"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6"/>
      </w:r>
    </w:p>
    <w:p>
      <w:pPr>
        <w:pStyle w:val="Compact"/>
        <w:numPr>
          <w:ilvl w:val="0"/>
          <w:numId w:val="1016"/>
        </w:numPr>
      </w:pPr>
      <w:r>
        <w:t xml:space="preserve">Orbit data source (e.g., predicted, definite, precise, downlinked, etc.)</w:t>
      </w:r>
    </w:p>
    <w:bookmarkEnd w:id="77"/>
    <w:bookmarkStart w:id="78"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8"/>
    <w:bookmarkStart w:id="79"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9"/>
    <w:bookmarkEnd w:id="80"/>
    <w:bookmarkStart w:id="84"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1"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1"/>
    <w:bookmarkStart w:id="82"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2"/>
    <w:bookmarkStart w:id="83"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3"/>
    <w:bookmarkEnd w:id="84"/>
    <w:bookmarkStart w:id="88"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5"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5"/>
    <w:bookmarkStart w:id="86"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89" w:name="threshold-requirements-13"/>
    <w:p>
      <w:pPr>
        <w:pStyle w:val="berschrift5"/>
      </w:pPr>
      <w:r>
        <w:t xml:space="preserve">Threshold requirements:</w:t>
      </w:r>
    </w:p>
    <w:p>
      <w:pPr>
        <w:pStyle w:val="FirstParagraph"/>
      </w:pPr>
      <w:r>
        <w:t xml:space="preserve">Not required.</w:t>
      </w:r>
      <w:r>
        <w:t xml:space="preserve"> </w:t>
      </w:r>
    </w:p>
    <w:bookmarkEnd w:id="89"/>
    <w:bookmarkStart w:id="90"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0"/>
    <w:bookmarkStart w:id="91"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1"/>
    <w:bookmarkEnd w:id="92"/>
    <w:bookmarkStart w:id="96"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3"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3"/>
    <w:bookmarkStart w:id="94"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4"/>
    <w:bookmarkStart w:id="95"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5"/>
    <w:bookmarkEnd w:id="96"/>
    <w:bookmarkStart w:id="100"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7" w:name="threshold-requirements-15"/>
    <w:p>
      <w:pPr>
        <w:pStyle w:val="berschrift5"/>
      </w:pPr>
      <w:r>
        <w:t xml:space="preserve">Threshold requirements:</w:t>
      </w:r>
    </w:p>
    <w:p>
      <w:pPr>
        <w:pStyle w:val="FirstParagraph"/>
      </w:pPr>
      <w:r>
        <w:t xml:space="preserve">Not required.</w:t>
      </w:r>
      <w:r>
        <w:t xml:space="preserve"> </w:t>
      </w:r>
    </w:p>
    <w:bookmarkEnd w:id="97"/>
    <w:bookmarkStart w:id="98"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8"/>
    <w:bookmarkStart w:id="99"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9"/>
    <w:bookmarkEnd w:id="100"/>
    <w:bookmarkStart w:id="104"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2"/>
    <w:bookmarkStart w:id="103"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3"/>
    <w:bookmarkEnd w:id="104"/>
    <w:bookmarkStart w:id="108"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5" w:name="threshold-requirements-17"/>
    <w:p>
      <w:pPr>
        <w:pStyle w:val="berschrift5"/>
      </w:pPr>
      <w:r>
        <w:t xml:space="preserve">Threshold requirements:</w:t>
      </w:r>
    </w:p>
    <w:p>
      <w:pPr>
        <w:pStyle w:val="FirstParagraph"/>
      </w:pPr>
      <w:r>
        <w:t xml:space="preserve">Not required.</w:t>
      </w:r>
      <w:r>
        <w:t xml:space="preserve"> </w:t>
      </w:r>
    </w:p>
    <w:bookmarkEnd w:id="105"/>
    <w:bookmarkStart w:id="106"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6"/>
    <w:bookmarkStart w:id="107"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7"/>
    <w:bookmarkEnd w:id="108"/>
    <w:bookmarkEnd w:id="109"/>
    <w:bookmarkStart w:id="159"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3"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0"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0"/>
    <w:bookmarkStart w:id="111"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1"/>
    <w:bookmarkStart w:id="112"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2"/>
    <w:bookmarkEnd w:id="113"/>
    <w:bookmarkStart w:id="117"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4" w:name="threshold-requirements-19"/>
    <w:p>
      <w:pPr>
        <w:pStyle w:val="berschrift5"/>
      </w:pPr>
      <w:r>
        <w:t xml:space="preserve">Threshold requirements:</w:t>
      </w:r>
    </w:p>
    <w:p>
      <w:pPr>
        <w:pStyle w:val="FirstParagraph"/>
      </w:pPr>
      <w:r>
        <w:t xml:space="preserve">Not required.</w:t>
      </w:r>
      <w:r>
        <w:t xml:space="preserve"> </w:t>
      </w:r>
    </w:p>
    <w:bookmarkEnd w:id="114"/>
    <w:bookmarkStart w:id="115"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5"/>
    <w:bookmarkStart w:id="116"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6"/>
    <w:bookmarkEnd w:id="117"/>
    <w:bookmarkStart w:id="121"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8"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8"/>
    <w:bookmarkStart w:id="119" w:name="goal-requirements-20"/>
    <w:p>
      <w:pPr>
        <w:pStyle w:val="berschrift5"/>
      </w:pPr>
      <w:r>
        <w:t xml:space="preserve">Goal requirements:</w:t>
      </w:r>
    </w:p>
    <w:p>
      <w:pPr>
        <w:pStyle w:val="FirstParagraph"/>
      </w:pPr>
      <w:r>
        <w:t xml:space="preserve">As threshold.</w:t>
      </w:r>
      <w:r>
        <w:t xml:space="preserve"> </w:t>
      </w:r>
    </w:p>
    <w:bookmarkEnd w:id="119"/>
    <w:bookmarkStart w:id="120"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2" w:name="threshold-requirements-21"/>
    <w:p>
      <w:pPr>
        <w:pStyle w:val="berschrift5"/>
      </w:pPr>
      <w:r>
        <w:t xml:space="preserve">Threshold requirements:</w:t>
      </w:r>
    </w:p>
    <w:p>
      <w:pPr>
        <w:pStyle w:val="FirstParagraph"/>
      </w:pPr>
      <w:r>
        <w:t xml:space="preserve">Not required.</w:t>
      </w:r>
      <w:r>
        <w:t xml:space="preserve"> </w:t>
      </w:r>
    </w:p>
    <w:bookmarkEnd w:id="122"/>
    <w:bookmarkStart w:id="123" w:name="goal-requirements-21"/>
    <w:p>
      <w:pPr>
        <w:pStyle w:val="berschrift5"/>
      </w:pPr>
      <w:r>
        <w:t xml:space="preserve">Goal requirements:</w:t>
      </w:r>
    </w:p>
    <w:p>
      <w:pPr>
        <w:pStyle w:val="FirstParagraph"/>
      </w:pPr>
      <w:r>
        <w:t xml:space="preserve">Equivalent Number of Looks (ENL)</w:t>
      </w:r>
    </w:p>
    <w:bookmarkEnd w:id="123"/>
    <w:bookmarkStart w:id="124"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4"/>
    <w:bookmarkEnd w:id="125"/>
    <w:bookmarkStart w:id="129"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6" w:name="threshold-requirements-22"/>
    <w:p>
      <w:pPr>
        <w:pStyle w:val="berschrift5"/>
      </w:pPr>
      <w:r>
        <w:t xml:space="preserve">Threshold requirements:</w:t>
      </w:r>
    </w:p>
    <w:p>
      <w:pPr>
        <w:pStyle w:val="FirstParagraph"/>
      </w:pPr>
      <w:r>
        <w:t xml:space="preserve">Not required.</w:t>
      </w:r>
      <w:r>
        <w:t xml:space="preserve"> </w:t>
      </w:r>
    </w:p>
    <w:bookmarkEnd w:id="126"/>
    <w:bookmarkStart w:id="127"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7"/>
    <w:bookmarkStart w:id="128"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8"/>
    <w:bookmarkEnd w:id="129"/>
    <w:bookmarkStart w:id="133"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0"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30"/>
    <w:bookmarkStart w:id="131" w:name="goal-requirements-23"/>
    <w:p>
      <w:pPr>
        <w:pStyle w:val="berschrift5"/>
      </w:pPr>
      <w:r>
        <w:t xml:space="preserve">Goal requirements:</w:t>
      </w:r>
    </w:p>
    <w:p>
      <w:pPr>
        <w:pStyle w:val="FirstParagraph"/>
      </w:pPr>
      <w:r>
        <w:t xml:space="preserve">As threshold.</w:t>
      </w:r>
      <w:r>
        <w:t xml:space="preserve"> </w:t>
      </w:r>
    </w:p>
    <w:bookmarkEnd w:id="131"/>
    <w:bookmarkStart w:id="132"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2"/>
    <w:bookmarkEnd w:id="133"/>
    <w:bookmarkStart w:id="137"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4"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4"/>
    <w:bookmarkStart w:id="135" w:name="goal-requirements-24"/>
    <w:p>
      <w:pPr>
        <w:pStyle w:val="berschrift5"/>
      </w:pPr>
      <w:r>
        <w:t xml:space="preserve">Goal requirements:</w:t>
      </w:r>
    </w:p>
    <w:p>
      <w:pPr>
        <w:pStyle w:val="FirstParagraph"/>
      </w:pPr>
      <w:r>
        <w:t xml:space="preserve">As threshold.</w:t>
      </w:r>
      <w:r>
        <w:t xml:space="preserve"> </w:t>
      </w:r>
    </w:p>
    <w:bookmarkEnd w:id="135"/>
    <w:bookmarkStart w:id="136"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6"/>
    <w:bookmarkEnd w:id="137"/>
    <w:bookmarkStart w:id="141"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8"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8"/>
    <w:bookmarkStart w:id="139" w:name="goal-requirements-25"/>
    <w:p>
      <w:pPr>
        <w:pStyle w:val="berschrift5"/>
      </w:pPr>
      <w:r>
        <w:t xml:space="preserve">Goal requirements:</w:t>
      </w:r>
    </w:p>
    <w:p>
      <w:pPr>
        <w:pStyle w:val="FirstParagraph"/>
      </w:pPr>
      <w:r>
        <w:t xml:space="preserve">As threshold.</w:t>
      </w:r>
      <w:r>
        <w:t xml:space="preserve"> </w:t>
      </w:r>
    </w:p>
    <w:bookmarkEnd w:id="139"/>
    <w:bookmarkStart w:id="140"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0"/>
    <w:bookmarkEnd w:id="141"/>
    <w:bookmarkStart w:id="145"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2"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2"/>
    <w:bookmarkStart w:id="143" w:name="goal-requirements-26"/>
    <w:p>
      <w:pPr>
        <w:pStyle w:val="berschrift5"/>
      </w:pPr>
      <w:r>
        <w:t xml:space="preserve">Goal requirements:</w:t>
      </w:r>
    </w:p>
    <w:p>
      <w:pPr>
        <w:pStyle w:val="FirstParagraph"/>
      </w:pPr>
      <w:r>
        <w:t xml:space="preserve">As threshold.</w:t>
      </w:r>
      <w:r>
        <w:t xml:space="preserve"> </w:t>
      </w:r>
    </w:p>
    <w:bookmarkEnd w:id="143"/>
    <w:bookmarkStart w:id="144"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4"/>
    <w:bookmarkEnd w:id="145"/>
    <w:bookmarkStart w:id="149"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6"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6"/>
    <w:bookmarkStart w:id="147" w:name="goal-requirements-27"/>
    <w:p>
      <w:pPr>
        <w:pStyle w:val="berschrift5"/>
      </w:pPr>
      <w:r>
        <w:t xml:space="preserve">Goal requirements:</w:t>
      </w:r>
    </w:p>
    <w:p>
      <w:pPr>
        <w:pStyle w:val="FirstParagraph"/>
      </w:pPr>
      <w:r>
        <w:t xml:space="preserve">As threshold.</w:t>
      </w:r>
      <w:r>
        <w:t xml:space="preserve"> </w:t>
      </w:r>
    </w:p>
    <w:bookmarkEnd w:id="147"/>
    <w:bookmarkStart w:id="148"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8"/>
    <w:bookmarkEnd w:id="149"/>
    <w:bookmarkStart w:id="153"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0"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50"/>
    <w:bookmarkStart w:id="151" w:name="goal-requirements-28"/>
    <w:p>
      <w:pPr>
        <w:pStyle w:val="berschrift5"/>
      </w:pPr>
      <w:r>
        <w:t xml:space="preserve">Goal requirements:</w:t>
      </w:r>
    </w:p>
    <w:p>
      <w:pPr>
        <w:pStyle w:val="FirstParagraph"/>
      </w:pPr>
      <w:r>
        <w:t xml:space="preserve">As threshold.</w:t>
      </w:r>
      <w:r>
        <w:t xml:space="preserve"> </w:t>
      </w:r>
    </w:p>
    <w:bookmarkEnd w:id="151"/>
    <w:bookmarkStart w:id="152"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2"/>
    <w:bookmarkEnd w:id="153"/>
    <w:bookmarkStart w:id="158" w:name="sec:prd-lookdip"/>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prd-lookdip</w:t>
      </w:r>
    </w:p>
    <w:bookmarkStart w:id="155"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lookdiri">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4"/>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7"/>
        </w:numPr>
      </w:pPr>
      <m:oMath>
        <m:sSub>
          <m:e>
            <m:r>
              <m:t>a</m:t>
            </m:r>
          </m:e>
          <m:sub>
            <m:r>
              <m:t>i</m:t>
            </m:r>
          </m:sub>
        </m:sSub>
      </m:oMath>
      <w:r>
        <w:t xml:space="preserve"> </w:t>
      </w:r>
      <w:r>
        <w:t xml:space="preserve">= polynomial coefficients</w:t>
      </w:r>
    </w:p>
    <w:p>
      <w:pPr>
        <w:pStyle w:val="Compact"/>
        <w:numPr>
          <w:ilvl w:val="0"/>
          <w:numId w:val="1047"/>
        </w:numPr>
      </w:pPr>
      <m:oMath>
        <m:r>
          <m:rPr>
            <m:nor/>
            <m:sty m:val="p"/>
          </m:rPr>
          <m:t>Lat</m:t>
        </m:r>
      </m:oMath>
      <w:r>
        <w:t xml:space="preserve"> </w:t>
      </w:r>
      <w:r>
        <w:t xml:space="preserve">= latitude</w:t>
      </w:r>
      <w:r>
        <w:br/>
      </w:r>
    </w:p>
    <w:p>
      <w:pPr>
        <w:pStyle w:val="Compact"/>
        <w:numPr>
          <w:ilvl w:val="0"/>
          <w:numId w:val="1047"/>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5"/>
    <w:bookmarkStart w:id="156" w:name="goal-requirements-29"/>
    <w:p>
      <w:pPr>
        <w:pStyle w:val="berschrift5"/>
      </w:pPr>
      <w:r>
        <w:t xml:space="preserve">Goal requirements:</w:t>
      </w:r>
    </w:p>
    <w:p>
      <w:pPr>
        <w:pStyle w:val="FirstParagraph"/>
      </w:pPr>
      <w:r>
        <w:t xml:space="preserve">As threshold.</w:t>
      </w:r>
      <w:r>
        <w:t xml:space="preserve"> </w:t>
      </w:r>
    </w:p>
    <w:bookmarkEnd w:id="156"/>
    <w:bookmarkStart w:id="157" w:name="assessment-29"/>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bookmarkEnd w:id="157"/>
    <w:bookmarkEnd w:id="158"/>
    <w:bookmarkEnd w:id="159"/>
    <w:bookmarkStart w:id="200"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3"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60" w:name="threshold-requirements-30"/>
    <w:p>
      <w:pPr>
        <w:pStyle w:val="berschrift5"/>
      </w:pPr>
      <w:r>
        <w:t xml:space="preserve">Threshold requirements:</w:t>
      </w:r>
    </w:p>
    <w:p>
      <w:pPr>
        <w:pStyle w:val="FirstParagraph"/>
      </w:pPr>
      <w:r>
        <w:t xml:space="preserve">Not required.</w:t>
      </w:r>
      <w:r>
        <w:t xml:space="preserve"> </w:t>
      </w:r>
    </w:p>
    <w:bookmarkEnd w:id="160"/>
    <w:bookmarkStart w:id="161" w:name="goal-requirements-30"/>
    <w:p>
      <w:pPr>
        <w:pStyle w:val="berschrift5"/>
      </w:pPr>
      <w:r>
        <w:t xml:space="preserve">Goal requirements:</w:t>
      </w:r>
    </w:p>
    <w:p>
      <w:pPr>
        <w:pStyle w:val="FirstParagraph"/>
      </w:pPr>
      <w:r>
        <w:t xml:space="preserve">All files are provided using cloud-optimized file formats.</w:t>
      </w:r>
    </w:p>
    <w:bookmarkEnd w:id="161"/>
    <w:bookmarkStart w:id="162" w:name="assessment-30"/>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2"/>
    <w:bookmarkEnd w:id="163"/>
    <w:bookmarkStart w:id="167"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4"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4"/>
    <w:bookmarkStart w:id="165"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5"/>
    <w:bookmarkStart w:id="166" w:name="assessment-31"/>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6"/>
    <w:bookmarkEnd w:id="167"/>
    <w:bookmarkStart w:id="171"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8" w:name="threshold-requirements-32"/>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bookmarkEnd w:id="168"/>
    <w:bookmarkStart w:id="169"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3"/>
        </w:numPr>
      </w:pPr>
      <w:r>
        <w:t xml:space="preserve">Layover (masked as invalid data in threshold)</w:t>
      </w:r>
    </w:p>
    <w:p>
      <w:pPr>
        <w:pStyle w:val="Compact"/>
        <w:numPr>
          <w:ilvl w:val="0"/>
          <w:numId w:val="1053"/>
        </w:numPr>
      </w:pPr>
      <w:r>
        <w:t xml:space="preserve">Radar shadow (masked as invalid data in threshold)</w:t>
      </w:r>
    </w:p>
    <w:p>
      <w:pPr>
        <w:pStyle w:val="Compact"/>
        <w:numPr>
          <w:ilvl w:val="0"/>
          <w:numId w:val="1053"/>
        </w:numPr>
      </w:pPr>
      <w:r>
        <w:t xml:space="preserve">Ocean water</w:t>
      </w:r>
    </w:p>
    <w:p>
      <w:pPr>
        <w:pStyle w:val="Compact"/>
        <w:numPr>
          <w:ilvl w:val="0"/>
          <w:numId w:val="1053"/>
        </w:numPr>
      </w:pPr>
      <w:r>
        <w:t xml:space="preserve">Land (recommended for ORB)</w:t>
      </w:r>
    </w:p>
    <w:p>
      <w:pPr>
        <w:pStyle w:val="Compact"/>
        <w:numPr>
          <w:ilvl w:val="0"/>
          <w:numId w:val="1053"/>
        </w:numPr>
      </w:pPr>
      <w:r>
        <w:t xml:space="preserve">RTC applied (e.g., for maritime scenes with land samples for which RTC has been applied)</w:t>
      </w:r>
    </w:p>
    <w:p>
      <w:pPr>
        <w:pStyle w:val="Compact"/>
        <w:numPr>
          <w:ilvl w:val="0"/>
          <w:numId w:val="1053"/>
        </w:numPr>
      </w:pPr>
      <w:r>
        <w:t xml:space="preserve">DEM gap filling (i.e., interpolated DEM over gaps)</w:t>
      </w:r>
    </w:p>
    <w:bookmarkEnd w:id="169"/>
    <w:bookmarkStart w:id="170" w:name="assessment-32"/>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0"/>
    <w:bookmarkEnd w:id="171"/>
    <w:bookmarkStart w:id="175"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2" w:name="threshold-requirements-33"/>
    <w:p>
      <w:pPr>
        <w:pStyle w:val="berschrift5"/>
      </w:pPr>
      <w:r>
        <w:t xml:space="preserve">Threshold requirements:</w:t>
      </w:r>
    </w:p>
    <w:p>
      <w:pPr>
        <w:pStyle w:val="FirstParagraph"/>
      </w:pPr>
      <w:r>
        <w:t xml:space="preserve">Not required.</w:t>
      </w:r>
      <w:r>
        <w:t xml:space="preserve"> </w:t>
      </w:r>
    </w:p>
    <w:bookmarkEnd w:id="172"/>
    <w:bookmarkStart w:id="173"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5"/>
        </w:numPr>
      </w:pPr>
      <w:r>
        <w:t xml:space="preserve">Sample Type (Scattering Area)</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bookmarkEnd w:id="173"/>
    <w:bookmarkStart w:id="174" w:name="assessment-33"/>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4"/>
    <w:bookmarkEnd w:id="175"/>
    <w:bookmarkStart w:id="179"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6"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FirstParagraph"/>
      </w:pPr>
      <w:r>
        <w:t xml:space="preserve">Note:</w:t>
      </w:r>
    </w:p>
    <w:p>
      <w:pPr>
        <w:pStyle w:val="Compact"/>
        <w:numPr>
          <w:ilvl w:val="0"/>
          <w:numId w:val="1058"/>
        </w:numPr>
      </w:pPr>
      <w:r>
        <w:t xml:space="preserve">For maritime ORB scenes when no land areas are covered, a geoid model could be used for the calculation of the local incident angle.</w:t>
      </w:r>
    </w:p>
    <w:bookmarkEnd w:id="176"/>
    <w:bookmarkStart w:id="177" w:name="goal-requirements-34"/>
    <w:p>
      <w:pPr>
        <w:pStyle w:val="berschrift5"/>
      </w:pPr>
      <w:r>
        <w:t xml:space="preserve">Goal requirements:</w:t>
      </w:r>
    </w:p>
    <w:p>
      <w:pPr>
        <w:pStyle w:val="FirstParagraph"/>
      </w:pPr>
      <w:r>
        <w:t xml:space="preserve">As threshold.</w:t>
      </w:r>
      <w:r>
        <w:t xml:space="preserve"> </w:t>
      </w:r>
    </w:p>
    <w:bookmarkEnd w:id="177"/>
    <w:bookmarkStart w:id="178" w:name="assessment-34"/>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8"/>
    <w:bookmarkEnd w:id="179"/>
    <w:bookmarkStart w:id="183"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0" w:name="threshold-requirements-35"/>
    <w:p>
      <w:pPr>
        <w:pStyle w:val="berschrift5"/>
      </w:pPr>
      <w:r>
        <w:t xml:space="preserve">Threshold requirements:</w:t>
      </w:r>
    </w:p>
    <w:p>
      <w:pPr>
        <w:pStyle w:val="FirstParagraph"/>
      </w:pPr>
      <w:r>
        <w:t xml:space="preserve">Not required.</w:t>
      </w:r>
      <w:r>
        <w:t xml:space="preserve"> </w:t>
      </w:r>
    </w:p>
    <w:bookmarkEnd w:id="180"/>
    <w:bookmarkStart w:id="181"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0"/>
        </w:numPr>
      </w:pPr>
      <w:r>
        <w:t xml:space="preserve">Sample Type (Angle)</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p>
      <w:pPr>
        <w:pStyle w:val="Compact"/>
        <w:numPr>
          <w:ilvl w:val="0"/>
          <w:numId w:val="1060"/>
        </w:numPr>
      </w:pPr>
      <w:r>
        <w:t xml:space="preserve">Reference Ellipsoid Name</w:t>
      </w:r>
    </w:p>
    <w:p>
      <w:pPr>
        <w:pStyle w:val="FirstParagraph"/>
      </w:pPr>
      <w:r>
        <w:t xml:space="preserve">Note:</w:t>
      </w:r>
    </w:p>
    <w:p>
      <w:pPr>
        <w:pStyle w:val="Compact"/>
        <w:numPr>
          <w:ilvl w:val="0"/>
          <w:numId w:val="1061"/>
        </w:numPr>
      </w:pPr>
      <w:r>
        <w:t xml:space="preserve">For maritime ORB scenes when no land areas are covered, the ellipsoidal incident angle is nearly identical to the geoid based local incident angle.</w:t>
      </w:r>
    </w:p>
    <w:bookmarkEnd w:id="181"/>
    <w:bookmarkStart w:id="182" w:name="assessment-35"/>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2"/>
    <w:bookmarkEnd w:id="183"/>
    <w:bookmarkStart w:id="187"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4" w:name="threshold-requirements-36"/>
    <w:p>
      <w:pPr>
        <w:pStyle w:val="berschrift5"/>
      </w:pPr>
      <w:r>
        <w:t xml:space="preserve">Threshold requirements:</w:t>
      </w:r>
    </w:p>
    <w:p>
      <w:pPr>
        <w:pStyle w:val="FirstParagraph"/>
      </w:pPr>
      <w:r>
        <w:t xml:space="preserve">Not required.</w:t>
      </w:r>
      <w:r>
        <w:t xml:space="preserve"> </w:t>
      </w:r>
    </w:p>
    <w:bookmarkEnd w:id="184"/>
    <w:bookmarkStart w:id="185"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3"/>
        </w:numPr>
      </w:pPr>
      <w:r>
        <w:t xml:space="preserve">Sample Type (Gamma-Nought, Sigma-Nought, Beta-Nought)</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5"/>
    <w:bookmarkStart w:id="186" w:name="assessment-36"/>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6"/>
    <w:bookmarkEnd w:id="187"/>
    <w:bookmarkStart w:id="191" w:name="sec:pxl-pacq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88"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8"/>
    <w:bookmarkStart w:id="189" w:name="goal-requirements-37"/>
    <w:p>
      <w:pPr>
        <w:pStyle w:val="berschrift5"/>
      </w:pPr>
      <w:r>
        <w:t xml:space="preserve">Goal requirements:</w:t>
      </w:r>
    </w:p>
    <w:p>
      <w:pPr>
        <w:pStyle w:val="FirstParagraph"/>
      </w:pPr>
      <w:r>
        <w:t xml:space="preserve">In case of image composites, the sources for each pixel are uniquely identified.</w:t>
      </w:r>
    </w:p>
    <w:bookmarkEnd w:id="189"/>
    <w:bookmarkStart w:id="190" w:name="assessment-37"/>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0"/>
    <w:bookmarkEnd w:id="191"/>
    <w:bookmarkStart w:id="195" w:name="sec:pxl-pigeoi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pxl-pigeoid</w:t>
      </w:r>
    </w:p>
    <w:bookmarkStart w:id="192" w:name="threshold-requirements-38"/>
    <w:p>
      <w:pPr>
        <w:pStyle w:val="berschrift5"/>
      </w:pPr>
      <w:r>
        <w:t xml:space="preserve">Threshold requirements:</w:t>
      </w:r>
    </w:p>
    <w:p>
      <w:pPr>
        <w:pStyle w:val="FirstParagraph"/>
      </w:pPr>
      <w:r>
        <w:t xml:space="preserve">Not required.</w:t>
      </w:r>
      <w:r>
        <w:t xml:space="preserve"> </w:t>
      </w:r>
    </w:p>
    <w:bookmarkEnd w:id="192"/>
    <w:bookmarkStart w:id="193"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Compact"/>
        <w:numPr>
          <w:ilvl w:val="0"/>
          <w:numId w:val="1067"/>
        </w:numPr>
      </w:pPr>
      <w:r>
        <w:t xml:space="preserve">Ground Sampling Distance</w:t>
      </w:r>
    </w:p>
    <w:bookmarkEnd w:id="193"/>
    <w:bookmarkStart w:id="194" w:name="assessment-38"/>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4"/>
    <w:bookmarkEnd w:id="195"/>
    <w:bookmarkStart w:id="199" w:name="sec:pxl-lookdiri"/>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pxl-lookdiri</w:t>
      </w:r>
    </w:p>
    <w:bookmarkStart w:id="196" w:name="threshold-requirements-39"/>
    <w:p>
      <w:pPr>
        <w:pStyle w:val="berschrift5"/>
      </w:pPr>
      <w:r>
        <w:t xml:space="preserve">Threshold requirements:</w:t>
      </w:r>
    </w:p>
    <w:p>
      <w:pPr>
        <w:pStyle w:val="FirstParagraph"/>
      </w:pPr>
      <w:r>
        <w:t xml:space="preserve">Not required.</w:t>
      </w:r>
      <w:r>
        <w:t xml:space="preserve"> </w:t>
      </w:r>
    </w:p>
    <w:bookmarkEnd w:id="196"/>
    <w:bookmarkStart w:id="197"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9"/>
        </w:numPr>
      </w:pPr>
      <w:r>
        <w:t xml:space="preserve">Sample Type (Angle)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197"/>
    <w:bookmarkStart w:id="198" w:name="assessment-39"/>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bookmarkEnd w:id="198"/>
    <w:bookmarkEnd w:id="199"/>
    <w:bookmarkEnd w:id="200"/>
    <w:bookmarkStart w:id="225"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4"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01" w:name="threshold-requirements-40"/>
    <w:p>
      <w:pPr>
        <w:pStyle w:val="berschrift5"/>
      </w:pPr>
      <w:r>
        <w:t xml:space="preserve">Threshold requirements:</w:t>
      </w:r>
    </w:p>
    <w:p>
      <w:pPr>
        <w:pStyle w:val="FirstParagraph"/>
      </w:pPr>
      <w:r>
        <w:t xml:space="preserve">Not required.</w:t>
      </w:r>
      <w:r>
        <w:t xml:space="preserve"> </w:t>
      </w:r>
    </w:p>
    <w:bookmarkEnd w:id="201"/>
    <w:bookmarkStart w:id="202" w:name="goal-requirements-40"/>
    <w:p>
      <w:pPr>
        <w:pStyle w:val="berschrift5"/>
      </w:pPr>
      <w:r>
        <w:t xml:space="preserve">Goal requirements:</w:t>
      </w:r>
    </w:p>
    <w:p>
      <w:pPr>
        <w:pStyle w:val="FirstParagraph"/>
      </w:pPr>
      <w:r>
        <w:t xml:space="preserve">All files are provided using cloud-optimized file formats.</w:t>
      </w:r>
    </w:p>
    <w:bookmarkEnd w:id="202"/>
    <w:bookmarkStart w:id="203" w:name="assessment-40"/>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3"/>
    <w:bookmarkEnd w:id="204"/>
    <w:bookmarkStart w:id="208" w:name="sec:rcm-backsca-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rcm-backsca-orb</w:t>
      </w:r>
    </w:p>
    <w:bookmarkStart w:id="205"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2"/>
        </w:numPr>
      </w:pPr>
      <w:r>
        <w:t xml:space="preserve">Measurement Type (Sigma-Nought)</w:t>
      </w:r>
    </w:p>
    <w:p>
      <w:pPr>
        <w:pStyle w:val="Compact"/>
        <w:numPr>
          <w:ilvl w:val="0"/>
          <w:numId w:val="1072"/>
        </w:numPr>
      </w:pPr>
      <w:r>
        <w:t xml:space="preserve">Backscatter Expression Convention (linear amplitude, linear power*)</w:t>
      </w:r>
    </w:p>
    <w:p>
      <w:pPr>
        <w:pStyle w:val="Compact"/>
        <w:numPr>
          <w:ilvl w:val="0"/>
          <w:numId w:val="1072"/>
        </w:numPr>
      </w:pPr>
      <w:r>
        <w:t xml:space="preserve">Backscatter Conversion Equation</w:t>
      </w:r>
    </w:p>
    <w:p>
      <w:pPr>
        <w:pStyle w:val="Compact"/>
        <w:numPr>
          <w:ilvl w:val="0"/>
          <w:numId w:val="1072"/>
        </w:numPr>
      </w:pPr>
      <w:r>
        <w:t xml:space="preserve">Polarization (HH, HV, VV, VH)</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Transformation to the logarithm decibel scale is not required or desired as this step can be easily completed by the user if necessary.</w:t>
      </w:r>
    </w:p>
    <w:bookmarkEnd w:id="205"/>
    <w:bookmarkStart w:id="206"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6"/>
    <w:bookmarkStart w:id="207" w:name="assessment-41"/>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7"/>
    <w:bookmarkEnd w:id="208"/>
    <w:bookmarkStart w:id="212"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9"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9"/>
    <w:bookmarkStart w:id="210" w:name="goal-requirements-42"/>
    <w:p>
      <w:pPr>
        <w:pStyle w:val="berschrift5"/>
      </w:pPr>
      <w:r>
        <w:t xml:space="preserve">Goal requirements:</w:t>
      </w:r>
    </w:p>
    <w:p>
      <w:pPr>
        <w:pStyle w:val="FirstParagraph"/>
      </w:pPr>
      <w:r>
        <w:t xml:space="preserve">As threshold, but use of float32.</w:t>
      </w:r>
    </w:p>
    <w:bookmarkEnd w:id="210"/>
    <w:bookmarkStart w:id="211" w:name="assessment-42"/>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1"/>
    <w:bookmarkEnd w:id="212"/>
    <w:bookmarkStart w:id="216"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3"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6"/>
        </w:numPr>
      </w:pPr>
      <w:r>
        <w:t xml:space="preserve">Thermal noise removal and image border noise removal to remove overall scene noise and scene edge artefacts, respectively.</w:t>
      </w:r>
    </w:p>
    <w:bookmarkEnd w:id="213"/>
    <w:bookmarkStart w:id="214" w:name="goal-requirements-43"/>
    <w:p>
      <w:pPr>
        <w:pStyle w:val="berschrift5"/>
      </w:pPr>
      <w:r>
        <w:t xml:space="preserve">Goal requirements:</w:t>
      </w:r>
    </w:p>
    <w:p>
      <w:pPr>
        <w:pStyle w:val="FirstParagraph"/>
      </w:pPr>
      <w:r>
        <w:t xml:space="preserve">As threshold.</w:t>
      </w:r>
      <w:r>
        <w:t xml:space="preserve"> </w:t>
      </w:r>
    </w:p>
    <w:bookmarkEnd w:id="214"/>
    <w:bookmarkStart w:id="215" w:name="assessment-43"/>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5"/>
    <w:bookmarkEnd w:id="216"/>
    <w:bookmarkStart w:id="220"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7" w:name="threshold-requirements-44"/>
    <w:p>
      <w:pPr>
        <w:pStyle w:val="berschrift5"/>
      </w:pPr>
      <w:r>
        <w:t xml:space="preserve">Threshold requirements:</w:t>
      </w:r>
    </w:p>
    <w:p>
      <w:pPr>
        <w:pStyle w:val="FirstParagraph"/>
      </w:pPr>
      <w:r>
        <w:t xml:space="preserve">Not required.</w:t>
      </w:r>
      <w:r>
        <w:t xml:space="preserve"> </w:t>
      </w:r>
    </w:p>
    <w:bookmarkEnd w:id="217"/>
    <w:bookmarkStart w:id="218"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8"/>
    <w:bookmarkStart w:id="219"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9"/>
    <w:bookmarkEnd w:id="220"/>
    <w:bookmarkStart w:id="224" w:name="sec:rcm-backsmwn"/>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rcm-backsmwn</w:t>
      </w:r>
    </w:p>
    <w:p>
      <w:pPr>
        <w:pStyle w:val="Textkrper"/>
      </w:pPr>
      <w:r>
        <w:rPr>
          <w:b/>
          <w:bCs/>
        </w:rPr>
        <w:t xml:space="preserve">Usage:</w:t>
      </w:r>
      <w:r>
        <w:t xml:space="preserve"> </w:t>
      </w:r>
      <w:r>
        <w:t xml:space="preserve">Only for Maritime scenes.</w:t>
      </w:r>
    </w:p>
    <w:bookmarkStart w:id="221" w:name="threshold-requirements-45"/>
    <w:p>
      <w:pPr>
        <w:pStyle w:val="berschrift5"/>
      </w:pPr>
      <w:r>
        <w:t xml:space="preserve">Threshold requirements:</w:t>
      </w:r>
    </w:p>
    <w:p>
      <w:pPr>
        <w:pStyle w:val="FirstParagraph"/>
      </w:pPr>
      <w:r>
        <w:t xml:space="preserve">Not required.</w:t>
      </w:r>
      <w:r>
        <w:t xml:space="preserve"> </w:t>
      </w:r>
    </w:p>
    <w:bookmarkEnd w:id="221"/>
    <w:bookmarkStart w:id="222"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9"/>
        </w:numPr>
      </w:pPr>
      <w:r>
        <w:t xml:space="preserve">Measurement Type (Wind-Normalised Backscatter)</w:t>
      </w:r>
    </w:p>
    <w:p>
      <w:pPr>
        <w:pStyle w:val="Compact"/>
        <w:numPr>
          <w:ilvl w:val="0"/>
          <w:numId w:val="1079"/>
        </w:numPr>
      </w:pPr>
      <w:r>
        <w:t xml:space="preserve">Backscatter Expression Convention (intensity ratio)</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w:t>
      </w:r>
    </w:p>
    <w:p>
      <w:pPr>
        <w:pStyle w:val="Compact"/>
        <w:numPr>
          <w:ilvl w:val="0"/>
          <w:numId w:val="1080"/>
        </w:numPr>
      </w:pPr>
      <w:r>
        <w:t xml:space="preserve">Reference wind model, wind speed and direction used for reference backscattering coefficient should be provided.</w:t>
      </w:r>
    </w:p>
    <w:bookmarkEnd w:id="222"/>
    <w:bookmarkStart w:id="223" w:name="assessment-45"/>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3"/>
    <w:bookmarkEnd w:id="224"/>
    <w:bookmarkEnd w:id="225"/>
    <w:bookmarkStart w:id="246"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9"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6" w:name="threshold-requirements-46"/>
    <w:p>
      <w:pPr>
        <w:pStyle w:val="berschrift5"/>
      </w:pPr>
      <w:r>
        <w:t xml:space="preserve">Threshold requirements:</w:t>
      </w:r>
    </w:p>
    <w:p>
      <w:pPr>
        <w:pStyle w:val="FirstParagraph"/>
      </w:pPr>
      <w:r>
        <w:t xml:space="preserve">Not required.</w:t>
      </w:r>
      <w:r>
        <w:t xml:space="preserve"> </w:t>
      </w:r>
    </w:p>
    <w:bookmarkEnd w:id="226"/>
    <w:bookmarkStart w:id="227" w:name="goal-requirements-46"/>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w:t>
      </w:r>
    </w:p>
    <w:p>
      <w:pPr>
        <w:pStyle w:val="Compact"/>
        <w:numPr>
          <w:ilvl w:val="0"/>
          <w:numId w:val="1083"/>
        </w:numPr>
      </w:pPr>
      <w:r>
        <w:t xml:space="preserve">Examples of technical documentation can include e.g., an Algorithm Theoretical Basis Document (ATBD) or a product user guide.</w:t>
      </w:r>
    </w:p>
    <w:bookmarkEnd w:id="227"/>
    <w:bookmarkStart w:id="228" w:name="assessment-46"/>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8"/>
    <w:bookmarkEnd w:id="229"/>
    <w:bookmarkStart w:id="233"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0" w:name="threshold-requirements-47"/>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30"/>
    <w:bookmarkStart w:id="231" w:name="goal-requirements-47"/>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31"/>
    <w:bookmarkStart w:id="232" w:name="assessment-47"/>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2"/>
    <w:bookmarkEnd w:id="233"/>
    <w:bookmarkStart w:id="237"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4"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4"/>
    <w:bookmarkStart w:id="235"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5"/>
    <w:bookmarkStart w:id="236" w:name="assessment-48"/>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6"/>
    <w:bookmarkEnd w:id="237"/>
    <w:bookmarkStart w:id="241"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8" w:name="threshold-requirements-49"/>
    <w:p>
      <w:pPr>
        <w:pStyle w:val="berschrift5"/>
      </w:pPr>
      <w:r>
        <w:t xml:space="preserve">Threshold requirements:</w:t>
      </w:r>
    </w:p>
    <w:p>
      <w:pPr>
        <w:pStyle w:val="FirstParagraph"/>
      </w:pPr>
      <w:r>
        <w:t xml:space="preserve">Not required.</w:t>
      </w:r>
      <w:r>
        <w:t xml:space="preserve"> </w:t>
      </w:r>
    </w:p>
    <w:bookmarkEnd w:id="238"/>
    <w:bookmarkStart w:id="239" w:name="goal-requirements-49"/>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9"/>
    <w:bookmarkStart w:id="240"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0"/>
    <w:bookmarkEnd w:id="241"/>
    <w:bookmarkStart w:id="245"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2"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2"/>
    <w:bookmarkStart w:id="243"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3"/>
    <w:bookmarkStart w:id="244" w:name="assessment-50"/>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4"/>
    <w:bookmarkEnd w:id="245"/>
    <w:bookmarkEnd w:id="246"/>
    <w:bookmarkEnd w:id="247"/>
    <w:bookmarkStart w:id="254" w:name="summary-self-assessment-table"/>
    <w:p>
      <w:pPr>
        <w:pStyle w:val="berschrift2"/>
      </w:pPr>
      <w:r>
        <w:t xml:space="preserve">Summary Self-Assessment Table</w:t>
      </w:r>
    </w:p>
    <w:bookmarkStart w:id="248"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8"/>
    <w:bookmarkStart w:id="249"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9"/>
    <w:bookmarkStart w:id="250"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prd-lookdip</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50"/>
    <w:bookmarkStart w:id="251"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pxl-lookdiri</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51"/>
    <w:bookmarkStart w:id="252"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rcm-backsmwn</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52"/>
    <w:bookmarkStart w:id="253"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3"/>
    <w:bookmarkEnd w:id="254"/>
    <w:bookmarkStart w:id="25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5"/>
    <w:bookmarkStart w:id="25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7"/>
    <w:bookmarkStart w:id="25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8"/>
    <w:bookmarkEnd w:id="259"/>
    <w:bookmarkStart w:id="280" w:name="references"/>
    <w:p>
      <w:pPr>
        <w:pStyle w:val="berschrift2"/>
      </w:pPr>
      <w:r>
        <w:t xml:space="preserve">References</w:t>
      </w:r>
    </w:p>
    <w:bookmarkStart w:id="279" w:name="refs"/>
    <w:bookmarkStart w:id="26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0"/>
    <w:bookmarkStart w:id="262"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1">
        <w:r>
          <w:rPr>
            <w:rStyle w:val="Hyperlink"/>
          </w:rPr>
          <w:t xml:space="preserve">https://doi.org/10.1109/TGRS.2008.2002881</w:t>
        </w:r>
      </w:hyperlink>
      <w:r>
        <w:t xml:space="preserve">.</w:t>
      </w:r>
    </w:p>
    <w:bookmarkEnd w:id="262"/>
    <w:bookmarkStart w:id="264"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3">
        <w:r>
          <w:rPr>
            <w:rStyle w:val="Hyperlink"/>
          </w:rPr>
          <w:t xml:space="preserve">https://doi.org/10.1029/2011JE003986</w:t>
        </w:r>
      </w:hyperlink>
      <w:r>
        <w:t xml:space="preserve">.</w:t>
      </w:r>
    </w:p>
    <w:bookmarkEnd w:id="264"/>
    <w:bookmarkStart w:id="26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5">
        <w:r>
          <w:rPr>
            <w:rStyle w:val="Hyperlink"/>
          </w:rPr>
          <w:t xml:space="preserve">https://doi.org/10.1109/TGRS.2022.3147472</w:t>
        </w:r>
      </w:hyperlink>
      <w:r>
        <w:t xml:space="preserve">.</w:t>
      </w:r>
    </w:p>
    <w:bookmarkEnd w:id="266"/>
    <w:bookmarkStart w:id="26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7">
        <w:r>
          <w:rPr>
            <w:rStyle w:val="Hyperlink"/>
          </w:rPr>
          <w:t xml:space="preserve">https://doi.org/10.1109/TGRS.2011.2120616</w:t>
        </w:r>
      </w:hyperlink>
      <w:r>
        <w:t xml:space="preserve">.</w:t>
      </w:r>
    </w:p>
    <w:bookmarkEnd w:id="268"/>
    <w:bookmarkStart w:id="270"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9">
        <w:r>
          <w:rPr>
            <w:rStyle w:val="Hyperlink"/>
          </w:rPr>
          <w:t xml:space="preserve">https://doi.org/10.1080/07038992.2000.10874781</w:t>
        </w:r>
      </w:hyperlink>
      <w:r>
        <w:t xml:space="preserve">.</w:t>
      </w:r>
    </w:p>
    <w:bookmarkEnd w:id="270"/>
    <w:bookmarkStart w:id="272"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1">
        <w:r>
          <w:rPr>
            <w:rStyle w:val="Hyperlink"/>
          </w:rPr>
          <w:t xml:space="preserve">https://doi.org/10.1109/TGRS.2010.2099124</w:t>
        </w:r>
      </w:hyperlink>
      <w:r>
        <w:t xml:space="preserve">.</w:t>
      </w:r>
    </w:p>
    <w:bookmarkEnd w:id="272"/>
    <w:bookmarkStart w:id="274"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3">
        <w:r>
          <w:rPr>
            <w:rStyle w:val="Hyperlink"/>
          </w:rPr>
          <w:t xml:space="preserve">https://doi.org/10.1029/97JC01911</w:t>
        </w:r>
      </w:hyperlink>
      <w:r>
        <w:t xml:space="preserve">.</w:t>
      </w:r>
    </w:p>
    <w:bookmarkEnd w:id="274"/>
    <w:bookmarkStart w:id="276"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5">
        <w:r>
          <w:rPr>
            <w:rStyle w:val="Hyperlink"/>
          </w:rPr>
          <w:t xml:space="preserve">https://doi.org/10.1109/LGRS.2017.2753580</w:t>
        </w:r>
      </w:hyperlink>
      <w:r>
        <w:t xml:space="preserve">.</w:t>
      </w:r>
    </w:p>
    <w:bookmarkEnd w:id="276"/>
    <w:bookmarkStart w:id="278"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7">
        <w:r>
          <w:rPr>
            <w:rStyle w:val="Hyperlink"/>
          </w:rPr>
          <w:t xml:space="preserve">https://doi.org/10.1109/TGRS.2010.2051333</w:t>
        </w:r>
      </w:hyperlink>
      <w:r>
        <w:t xml:space="preserve">.</w:t>
      </w:r>
    </w:p>
    <w:bookmarkEnd w:id="278"/>
    <w:bookmarkEnd w:id="279"/>
    <w:p>
      <w:r>
        <w:br w:type="page"/>
      </w:r>
    </w:p>
    <w:bookmarkEnd w:id="280"/>
    <w:bookmarkStart w:id="327" w:name="annexes"/>
    <w:p>
      <w:pPr>
        <w:pStyle w:val="berschrift2"/>
      </w:pPr>
      <w:r>
        <w:t xml:space="preserve">Annexes</w:t>
      </w:r>
    </w:p>
    <w:bookmarkStart w:id="282"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1"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1"/>
    <w:bookmarkEnd w:id="282"/>
    <w:bookmarkStart w:id="294"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3"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3"/>
    </w:p>
    <w:p>
      <w:pPr>
        <w:pStyle w:val="FirstParagraph"/>
      </w:pPr>
      <w:r>
        <w:t xml:space="preserve">Where</w:t>
      </w:r>
    </w:p>
    <w:p>
      <w:pPr>
        <w:pStyle w:val="Textkrper"/>
      </w:pPr>
      <w:bookmarkStart w:id="284"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4"/>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5"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5"/>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6"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6"/>
    </w:p>
    <w:p>
      <w:pPr>
        <w:pStyle w:val="FirstParagraph"/>
      </w:pPr>
      <w:bookmarkStart w:id="287"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7"/>
    </w:p>
    <w:p>
      <w:pPr>
        <w:pStyle w:val="FirstParagraph"/>
      </w:pPr>
      <w:r>
        <w:t xml:space="preserve">The differential phase is</w:t>
      </w:r>
    </w:p>
    <w:p>
      <w:pPr>
        <w:pStyle w:val="Textkrper"/>
      </w:pPr>
      <w:bookmarkStart w:id="288"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8"/>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9"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9"/>
    </w:p>
    <w:p>
      <w:pPr>
        <w:pStyle w:val="FirstParagraph"/>
      </w:pPr>
      <w:bookmarkStart w:id="290"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0"/>
    </w:p>
    <w:p>
      <w:pPr>
        <w:pStyle w:val="FirstParagraph"/>
      </w:pPr>
      <w:bookmarkStart w:id="291"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91"/>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2"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92"/>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3"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3"/>
    </w:p>
    <w:bookmarkEnd w:id="294"/>
    <w:bookmarkStart w:id="301"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5"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5"/>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6"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6"/>
    </w:p>
    <w:p>
      <w:pPr>
        <w:pStyle w:val="FirstParagraph"/>
      </w:pPr>
      <w:bookmarkStart w:id="297"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7"/>
    </w:p>
    <w:p>
      <w:pPr>
        <w:pStyle w:val="FirstParagraph"/>
      </w:pPr>
      <w:bookmarkStart w:id="298"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8"/>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9"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9"/>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0"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0"/>
    </w:p>
    <w:bookmarkEnd w:id="301"/>
    <w:bookmarkStart w:id="326"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w:t>
      </w:r>
      <m:oMath>
        <m:sSubSup>
          <m:e>
            <m:r>
              <m:t>σ</m:t>
            </m:r>
          </m:e>
          <m:sub>
            <m:r>
              <m:t>E</m:t>
            </m:r>
          </m:sub>
          <m:sup>
            <m:r>
              <m:t>0</m:t>
            </m:r>
          </m:sup>
        </m:sSubSup>
      </m:oMath>
      <w:r>
        <w:t xml:space="preserve">) backscatter convention (Figure </w:t>
      </w:r>
      <w:hyperlink w:anchor="fig:sar-orb-example-fig1a">
        <w:r>
          <w:rPr>
            <w:rStyle w:val="Hyperlink"/>
          </w:rPr>
          <w:t xml:space="preserve">1</w:t>
        </w:r>
      </w:hyperlink>
      <w:r>
        <w:t xml:space="preserve">), which is recommended for most ocean applications. In addition, availability of the</w:t>
      </w:r>
      <w:r>
        <w:t xml:space="preserve"> </w:t>
      </w:r>
      <w:r>
        <w:t xml:space="preserve">“Local (or Ellipsoidal) Incidence Angle Image”</w:t>
      </w:r>
      <w:r>
        <w:t xml:space="preserve"> </w:t>
      </w:r>
      <w:r>
        <w:t xml:space="preserve">(Figure </w:t>
      </w:r>
      <w:hyperlink w:anchor="fig:sar-orb-example-fig1d">
        <w:r>
          <w:rPr>
            <w:rStyle w:val="Hyperlink"/>
          </w:rPr>
          <w:t xml:space="preserve">4</w:t>
        </w:r>
      </w:hyperlink>
      <w:r>
        <w:t xml:space="preserve">) and</w:t>
      </w:r>
      <w:r>
        <w:t xml:space="preserve"> </w:t>
      </w:r>
      <w:r>
        <w:t xml:space="preserve">“Look Direction Image”</w:t>
      </w:r>
      <w:r>
        <w:t xml:space="preserve"> </w:t>
      </w:r>
      <w:r>
        <w:t xml:space="preserve">per-pixel metadata are highly recommended (otherwise the general metadata</w:t>
      </w:r>
      <w:r>
        <w:t xml:space="preserve"> </w:t>
      </w:r>
      <w:r>
        <w:t xml:space="preserve">“Look Direction Polynomials”</w:t>
      </w:r>
      <w:r>
        <w:t xml:space="preserve">)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5" w:name="fig:sar-orb-example-fig1a"/>
    <w:p>
      <w:pPr>
        <w:pStyle w:val="CaptionedFigure"/>
      </w:pPr>
      <w:r>
        <w:drawing>
          <wp:inline>
            <wp:extent cx="3810000" cy="2540000"/>
            <wp:effectExtent b="0" l="0" r="0" t="0"/>
            <wp:docPr descr="Figure 1: VV intensity; Processing: A. Rosenqvist (soloEO)" title="" id="303" name="Picture"/>
            <a:graphic>
              <a:graphicData uri="http://schemas.openxmlformats.org/drawingml/2006/picture">
                <pic:pic>
                  <pic:nvPicPr>
                    <pic:cNvPr descr="assets/sar-orb-examples/S1-ORB-VV.png" id="304" name="Picture"/>
                    <pic:cNvPicPr>
                      <a:picLocks noChangeArrowheads="1" noChangeAspect="1"/>
                    </pic:cNvPicPr>
                  </pic:nvPicPr>
                  <pic:blipFill>
                    <a:blip r:embed="rId30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5"/>
    <w:bookmarkStart w:id="309" w:name="fig:sar-orb-example-fig1b"/>
    <w:p>
      <w:pPr>
        <w:pStyle w:val="CaptionedFigure"/>
      </w:pPr>
      <w:r>
        <w:drawing>
          <wp:inline>
            <wp:extent cx="3810000" cy="2540000"/>
            <wp:effectExtent b="0" l="0" r="0" t="0"/>
            <wp:docPr descr="Figure 2: VH intensity; Processing: A. Rosenqvist (soloEO)" title="" id="307" name="Picture"/>
            <a:graphic>
              <a:graphicData uri="http://schemas.openxmlformats.org/drawingml/2006/picture">
                <pic:pic>
                  <pic:nvPicPr>
                    <pic:cNvPr descr="assets/sar-orb-examples/S1-ORB-VH.png" id="308" name="Picture"/>
                    <pic:cNvPicPr>
                      <a:picLocks noChangeArrowheads="1" noChangeAspect="1"/>
                    </pic:cNvPicPr>
                  </pic:nvPicPr>
                  <pic:blipFill>
                    <a:blip r:embed="rId30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09"/>
    <w:bookmarkStart w:id="313" w:name="fig:sar-orb-example-fig1c"/>
    <w:p>
      <w:pPr>
        <w:pStyle w:val="CaptionedFigure"/>
      </w:pPr>
      <w:r>
        <w:drawing>
          <wp:inline>
            <wp:extent cx="3810000" cy="2540000"/>
            <wp:effectExtent b="0" l="0" r="0" t="0"/>
            <wp:docPr descr="Figure 3: Data mask image; Processing: A. Rosenqvist (soloEO)" title="" id="311" name="Picture"/>
            <a:graphic>
              <a:graphicData uri="http://schemas.openxmlformats.org/drawingml/2006/picture">
                <pic:pic>
                  <pic:nvPicPr>
                    <pic:cNvPr descr="assets/sar-orb-examples/S1-ORB-data-mask.png" id="312" name="Picture"/>
                    <pic:cNvPicPr>
                      <a:picLocks noChangeArrowheads="1" noChangeAspect="1"/>
                    </pic:cNvPicPr>
                  </pic:nvPicPr>
                  <pic:blipFill>
                    <a:blip r:embed="rId31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3"/>
    <w:bookmarkStart w:id="317" w:name="fig:sar-orb-example-fig1d"/>
    <w:p>
      <w:pPr>
        <w:pStyle w:val="CaptionedFigure"/>
      </w:pPr>
      <w:r>
        <w:drawing>
          <wp:inline>
            <wp:extent cx="3810000" cy="2540000"/>
            <wp:effectExtent b="0" l="0" r="0" t="0"/>
            <wp:docPr descr="Figure 4: Local incident angle; Processing: A. Rosenqvist (soloEO)" title="" id="315" name="Picture"/>
            <a:graphic>
              <a:graphicData uri="http://schemas.openxmlformats.org/drawingml/2006/picture">
                <pic:pic>
                  <pic:nvPicPr>
                    <pic:cNvPr descr="assets/sar-orb-examples/S1-ORB-local-indicident-angle.png" id="316" name="Picture"/>
                    <pic:cNvPicPr>
                      <a:picLocks noChangeArrowheads="1" noChangeAspect="1"/>
                    </pic:cNvPicPr>
                  </pic:nvPicPr>
                  <pic:blipFill>
                    <a:blip r:embed="rId31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17"/>
    <w:p>
      <w:pPr>
        <w:pStyle w:val="Textkrper"/>
      </w:pPr>
      <w:r>
        <w:t xml:space="preserve">Another useful file is the</w:t>
      </w:r>
      <w:r>
        <w:t xml:space="preserve"> </w:t>
      </w:r>
      <w:r>
        <w:t xml:space="preserve">“Mean Wind-Normalised Backscatter Measurements”</w:t>
      </w:r>
      <w:r>
        <w:t xml:space="preserve"> </w:t>
      </w:r>
      <w:r>
        <w:t xml:space="preserve">(Figure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21" w:name="fig:sar-orb-example-fig2a"/>
    <w:p>
      <w:pPr>
        <w:pStyle w:val="CaptionedFigure"/>
      </w:pPr>
      <w:r>
        <w:drawing>
          <wp:inline>
            <wp:extent cx="3810000" cy="2540000"/>
            <wp:effectExtent b="0" l="0" r="0" t="0"/>
            <wp:docPr descr="Figure 5: ORB intensity (Sigma-Nought); Processing: G. Hajduch (CLS)" title="" id="319" name="Picture"/>
            <a:graphic>
              <a:graphicData uri="http://schemas.openxmlformats.org/drawingml/2006/picture">
                <pic:pic>
                  <pic:nvPicPr>
                    <pic:cNvPr descr="assets/sar-orb-examples/S1-ORB-sigma-nought.png" id="320" name="Picture"/>
                    <pic:cNvPicPr>
                      <a:picLocks noChangeArrowheads="1" noChangeAspect="1"/>
                    </pic:cNvPicPr>
                  </pic:nvPicPr>
                  <pic:blipFill>
                    <a:blip r:embed="rId31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21"/>
    <w:bookmarkStart w:id="325"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3" name="Picture"/>
            <a:graphic>
              <a:graphicData uri="http://schemas.openxmlformats.org/drawingml/2006/picture">
                <pic:pic>
                  <pic:nvPicPr>
                    <pic:cNvPr descr="assets/sar-orb-examples/S1-ORB-intesity-compensated.png" id="324" name="Picture"/>
                    <pic:cNvPicPr>
                      <a:picLocks noChangeArrowheads="1" noChangeAspect="1"/>
                    </pic:cNvPicPr>
                  </pic:nvPicPr>
                  <pic:blipFill>
                    <a:blip r:embed="rId32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w:t>
      </w:r>
      <w:r>
        <w:t xml:space="preserve"> </w:t>
      </w:r>
      <w:r>
        <w:t xml:space="preserve">“Mean Wind-Normalised Backscatter Measurement”</w:t>
      </w:r>
      <w:r>
        <w:t xml:space="preserve"> </w:t>
      </w:r>
      <w:r>
        <w:t xml:space="preserve">(i.e., not Sigma-Nought) and geocoded; Processing: G. Hajduch (CLS)</w:t>
      </w:r>
    </w:p>
    <w:bookmarkEnd w:id="325"/>
    <w:bookmarkEnd w:id="326"/>
    <w:bookmarkEnd w:id="327"/>
    <w:bookmarkEnd w:id="328"/>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 w:id="154">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06" Target="media/rId306.png" /><Relationship Type="http://schemas.openxmlformats.org/officeDocument/2006/relationships/image" Id="rId302" Target="media/rId302.png" /><Relationship Type="http://schemas.openxmlformats.org/officeDocument/2006/relationships/image" Id="rId310" Target="media/rId310.png" /><Relationship Type="http://schemas.openxmlformats.org/officeDocument/2006/relationships/image" Id="rId322" Target="media/rId322.png" /><Relationship Type="http://schemas.openxmlformats.org/officeDocument/2006/relationships/image" Id="rId314" Target="media/rId314.png" /><Relationship Type="http://schemas.openxmlformats.org/officeDocument/2006/relationships/image" Id="rId318" Target="media/rId318.png" /><Relationship Type="http://schemas.openxmlformats.org/officeDocument/2006/relationships/hyperlink" Id="rId23" Target="https://ceos.org/ard" TargetMode="External" /><Relationship Type="http://schemas.openxmlformats.org/officeDocument/2006/relationships/hyperlink" Id="rId256"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3" Target="https://doi.org/10.1029/97JC01911" TargetMode="External" /><Relationship Type="http://schemas.openxmlformats.org/officeDocument/2006/relationships/hyperlink" Id="rId269" Target="https://doi.org/10.1080/07038992.2000.10874781" TargetMode="External" /><Relationship Type="http://schemas.openxmlformats.org/officeDocument/2006/relationships/hyperlink" Id="rId275"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7" Target="https://doi.org/10.1109/TGRS.2010.2051333" TargetMode="External" /><Relationship Type="http://schemas.openxmlformats.org/officeDocument/2006/relationships/hyperlink" Id="rId271"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256"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3" Target="https://doi.org/10.1029/97JC01911" TargetMode="External" /><Relationship Type="http://schemas.openxmlformats.org/officeDocument/2006/relationships/hyperlink" Id="rId269" Target="https://doi.org/10.1080/07038992.2000.10874781" TargetMode="External" /><Relationship Type="http://schemas.openxmlformats.org/officeDocument/2006/relationships/hyperlink" Id="rId275"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7" Target="https://doi.org/10.1109/TGRS.2010.2051333" TargetMode="External" /><Relationship Type="http://schemas.openxmlformats.org/officeDocument/2006/relationships/hyperlink" Id="rId271"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1.1.0-draft</dc:title>
  <dc:creator/>
  <dc:language>en</dc:language>
  <cp:keywords/>
  <dcterms:created xsi:type="dcterms:W3CDTF">2026-04-23T19:35:34Z</dcterms:created>
  <dcterms:modified xsi:type="dcterms:W3CDTF">2026-04-23T19:35:34Z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