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4.png" ContentType="image/png"/>
  <Override PartName="/word/media/rId300.png" ContentType="image/png"/>
  <Override PartName="/word/media/rId308.png" ContentType="image/png"/>
  <Override PartName="/word/media/rId320.png" ContentType="image/png"/>
  <Override PartName="/word/media/rId312.png" ContentType="image/png"/>
  <Override PartName="/word/media/rId3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6" w:name="sec:prd-lookd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prd-lookdp</w:t>
      </w:r>
    </w:p>
    <w:bookmarkStart w:id="153"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plkdr">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2"/>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3"/>
    <w:bookmarkStart w:id="154" w:name="goal-requirements-29"/>
    <w:p>
      <w:pPr>
        <w:pStyle w:val="berschrift5"/>
      </w:pPr>
      <w:r>
        <w:t xml:space="preserve">Goal requirements:</w:t>
      </w:r>
    </w:p>
    <w:p>
      <w:pPr>
        <w:pStyle w:val="FirstParagraph"/>
      </w:pPr>
      <w:r>
        <w:t xml:space="preserve">As threshold.</w:t>
      </w:r>
      <w:r>
        <w:t xml:space="preserve"> </w:t>
      </w:r>
    </w:p>
    <w:bookmarkEnd w:id="154"/>
    <w:bookmarkStart w:id="155"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1"/>
    <w:bookmarkStart w:id="172"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Notes:</w:t>
      </w:r>
    </w:p>
    <w:p>
      <w:pPr>
        <w:pStyle w:val="Compact"/>
        <w:numPr>
          <w:ilvl w:val="0"/>
          <w:numId w:val="1061"/>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3"/>
    <w:bookmarkStart w:id="184"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4"/>
    <w:bookmarkEnd w:id="185"/>
    <w:bookmarkStart w:id="189" w:name="sec:pxl-ppacq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6"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6"/>
    <w:bookmarkStart w:id="187" w:name="goal-requirements-37"/>
    <w:p>
      <w:pPr>
        <w:pStyle w:val="berschrift5"/>
      </w:pPr>
      <w:r>
        <w:t xml:space="preserve">Goal requirements:</w:t>
      </w:r>
    </w:p>
    <w:p>
      <w:pPr>
        <w:pStyle w:val="FirstParagraph"/>
      </w:pPr>
      <w:r>
        <w:t xml:space="preserve">In case of image composites, the sources for each pixel are uniquely identified.</w:t>
      </w:r>
    </w:p>
    <w:bookmarkEnd w:id="187"/>
    <w:bookmarkStart w:id="188"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pgeo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pxl-ppgeod</w:t>
      </w:r>
    </w:p>
    <w:bookmarkStart w:id="190" w:name="threshold-requirements-38"/>
    <w:p>
      <w:pPr>
        <w:pStyle w:val="berschrift5"/>
      </w:pPr>
      <w:r>
        <w:t xml:space="preserve">Threshold requirements:</w:t>
      </w:r>
    </w:p>
    <w:p>
      <w:pPr>
        <w:pStyle w:val="FirstParagraph"/>
      </w:pPr>
      <w:r>
        <w:t xml:space="preserve">Not required.</w:t>
      </w:r>
      <w:r>
        <w:t xml:space="preserve"> </w:t>
      </w:r>
    </w:p>
    <w:bookmarkEnd w:id="190"/>
    <w:bookmarkStart w:id="191"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1"/>
    <w:bookmarkStart w:id="192"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pplkdr"/>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pxl-pplkdr</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195"/>
    <w:bookmarkStart w:id="196"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1"/>
    <w:bookmarkEnd w:id="202"/>
    <w:bookmarkStart w:id="206" w:name="sec:rcm-bs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rcm-bsorb</w:t>
      </w:r>
    </w:p>
    <w:bookmarkStart w:id="203"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Notes:</w:t>
      </w:r>
    </w:p>
    <w:p>
      <w:pPr>
        <w:pStyle w:val="Compact"/>
        <w:numPr>
          <w:ilvl w:val="0"/>
          <w:numId w:val="1073"/>
        </w:numPr>
      </w:pPr>
      <w:r>
        <w:t xml:space="preserve">Transformation to the logarithm decibel scale is not required or desired as this step can be easily completed by the user if necessary.</w:t>
      </w:r>
    </w:p>
    <w:bookmarkEnd w:id="203"/>
    <w:bookmarkStart w:id="204"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4"/>
    <w:bookmarkStart w:id="205"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6"/>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3"/>
    <w:bookmarkEnd w:id="214"/>
    <w:bookmarkStart w:id="218" w:name="sec:rcm-rma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7"/>
    <w:bookmarkEnd w:id="218"/>
    <w:bookmarkStart w:id="222" w:name="sec:rcm-mwnbs"/>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rcm-mwnbs</w:t>
      </w:r>
    </w:p>
    <w:p>
      <w:pPr>
        <w:pStyle w:val="Textkrper"/>
      </w:pPr>
      <w:r>
        <w:rPr>
          <w:b/>
          <w:bCs/>
        </w:rPr>
        <w:t xml:space="preserve">Usage:</w:t>
      </w:r>
      <w:r>
        <w:t xml:space="preserve"> </w:t>
      </w:r>
      <w:r>
        <w:t xml:space="preserve">Only for Maritime scenes.</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Reference wind model, wind speed and direction used for reference backscattering coefficient should be provided.</w:t>
      </w:r>
    </w:p>
    <w:bookmarkEnd w:id="220"/>
    <w:bookmarkStart w:id="221"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5"/>
    <w:bookmarkStart w:id="226"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6"/>
    <w:bookmarkEnd w:id="227"/>
    <w:bookmarkStart w:id="231"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28"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28"/>
    <w:bookmarkStart w:id="229"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29"/>
    <w:bookmarkStart w:id="230"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0"/>
    <w:bookmarkEnd w:id="231"/>
    <w:bookmarkStart w:id="235"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2"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2"/>
    <w:bookmarkStart w:id="233"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4"/>
    <w:bookmarkEnd w:id="235"/>
    <w:bookmarkStart w:id="239"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6" w:name="threshold-requirements-49"/>
    <w:p>
      <w:pPr>
        <w:pStyle w:val="berschrift5"/>
      </w:pPr>
      <w:r>
        <w:t xml:space="preserve">Threshold requirements:</w:t>
      </w:r>
    </w:p>
    <w:p>
      <w:pPr>
        <w:pStyle w:val="FirstParagraph"/>
      </w:pPr>
      <w:r>
        <w:t xml:space="preserve">Not required.</w:t>
      </w:r>
      <w:r>
        <w:t xml:space="preserve"> </w:t>
      </w:r>
    </w:p>
    <w:bookmarkEnd w:id="236"/>
    <w:bookmarkStart w:id="237" w:name="goal-requirements-49"/>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0"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0"/>
    <w:bookmarkStart w:id="241"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pxl-ppgeod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pxl-pplkdr</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rcm-mwnbs</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6"/>
    <w:bookmarkEnd w:id="257"/>
    <w:bookmarkStart w:id="278" w:name="references"/>
    <w:p>
      <w:pPr>
        <w:pStyle w:val="berschrift2"/>
      </w:pPr>
      <w:r>
        <w:t xml:space="preserve">References</w:t>
      </w:r>
    </w:p>
    <w:bookmarkStart w:id="277" w:name="refs"/>
    <w:bookmarkStart w:id="258"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8"/>
    <w:bookmarkStart w:id="260"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9">
        <w:r>
          <w:rPr>
            <w:rStyle w:val="Hyperlink"/>
          </w:rPr>
          <w:t xml:space="preserve">https://doi.org/10.1109/TGRS.2008.2002881</w:t>
        </w:r>
      </w:hyperlink>
      <w:r>
        <w:t xml:space="preserve">.</w:t>
      </w:r>
    </w:p>
    <w:bookmarkEnd w:id="260"/>
    <w:bookmarkStart w:id="262"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1">
        <w:r>
          <w:rPr>
            <w:rStyle w:val="Hyperlink"/>
          </w:rPr>
          <w:t xml:space="preserve">https://doi.org/10.1029/2011JE003986</w:t>
        </w:r>
      </w:hyperlink>
      <w:r>
        <w:t xml:space="preserve">.</w:t>
      </w:r>
    </w:p>
    <w:bookmarkEnd w:id="262"/>
    <w:bookmarkStart w:id="264"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3">
        <w:r>
          <w:rPr>
            <w:rStyle w:val="Hyperlink"/>
          </w:rPr>
          <w:t xml:space="preserve">https://doi.org/10.1109/TGRS.2022.3147472</w:t>
        </w:r>
      </w:hyperlink>
      <w:r>
        <w:t xml:space="preserve">.</w:t>
      </w:r>
    </w:p>
    <w:bookmarkEnd w:id="264"/>
    <w:bookmarkStart w:id="266"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5">
        <w:r>
          <w:rPr>
            <w:rStyle w:val="Hyperlink"/>
          </w:rPr>
          <w:t xml:space="preserve">https://doi.org/10.1109/TGRS.2011.2120616</w:t>
        </w:r>
      </w:hyperlink>
      <w:r>
        <w:t xml:space="preserve">.</w:t>
      </w:r>
    </w:p>
    <w:bookmarkEnd w:id="266"/>
    <w:bookmarkStart w:id="268"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7">
        <w:r>
          <w:rPr>
            <w:rStyle w:val="Hyperlink"/>
          </w:rPr>
          <w:t xml:space="preserve">https://doi.org/10.1080/07038992.2000.10874781</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1">
        <w:r>
          <w:rPr>
            <w:rStyle w:val="Hyperlink"/>
          </w:rPr>
          <w:t xml:space="preserve">https://doi.org/10.1029/97JC01911</w:t>
        </w:r>
      </w:hyperlink>
      <w:r>
        <w:t xml:space="preserve">.</w:t>
      </w:r>
    </w:p>
    <w:bookmarkEnd w:id="272"/>
    <w:bookmarkStart w:id="27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3">
        <w:r>
          <w:rPr>
            <w:rStyle w:val="Hyperlink"/>
          </w:rPr>
          <w:t xml:space="preserve">https://doi.org/10.1109/LGRS.2017.2753580</w:t>
        </w:r>
      </w:hyperlink>
      <w:r>
        <w:t xml:space="preserve">.</w:t>
      </w:r>
    </w:p>
    <w:bookmarkEnd w:id="274"/>
    <w:bookmarkStart w:id="27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5">
        <w:r>
          <w:rPr>
            <w:rStyle w:val="Hyperlink"/>
          </w:rPr>
          <w:t xml:space="preserve">https://doi.org/10.1109/TGRS.2010.2051333</w:t>
        </w:r>
      </w:hyperlink>
      <w:r>
        <w:t xml:space="preserve">.</w:t>
      </w:r>
    </w:p>
    <w:bookmarkEnd w:id="276"/>
    <w:bookmarkEnd w:id="277"/>
    <w:p>
      <w:r>
        <w:br w:type="page"/>
      </w:r>
    </w:p>
    <w:bookmarkEnd w:id="278"/>
    <w:bookmarkStart w:id="325" w:name="annexes"/>
    <w:p>
      <w:pPr>
        <w:pStyle w:val="berschrift2"/>
      </w:pPr>
      <w:r>
        <w:t xml:space="preserve">Annexes</w:t>
      </w:r>
    </w:p>
    <w:bookmarkStart w:id="28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9"/>
    <w:bookmarkEnd w:id="280"/>
    <w:bookmarkStart w:id="29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1"/>
    </w:p>
    <w:p>
      <w:pPr>
        <w:pStyle w:val="FirstParagraph"/>
      </w:pPr>
      <w:r>
        <w:t xml:space="preserve">Where</w:t>
      </w:r>
    </w:p>
    <w:p>
      <w:pPr>
        <w:pStyle w:val="Textkrper"/>
      </w:pPr>
      <w:bookmarkStart w:id="28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4"/>
    </w:p>
    <w:p>
      <w:pPr>
        <w:pStyle w:val="FirstParagraph"/>
      </w:pPr>
      <w:bookmarkStart w:id="28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5"/>
    </w:p>
    <w:p>
      <w:pPr>
        <w:pStyle w:val="FirstParagraph"/>
      </w:pPr>
      <w:r>
        <w:t xml:space="preserve">The differential phase is</w:t>
      </w:r>
    </w:p>
    <w:p>
      <w:pPr>
        <w:pStyle w:val="Textkrper"/>
      </w:pPr>
      <w:bookmarkStart w:id="28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7"/>
    </w:p>
    <w:p>
      <w:pPr>
        <w:pStyle w:val="FirstParagraph"/>
      </w:pPr>
      <w:bookmarkStart w:id="28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8"/>
    </w:p>
    <w:p>
      <w:pPr>
        <w:pStyle w:val="FirstParagraph"/>
      </w:pPr>
      <w:bookmarkStart w:id="28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1"/>
    </w:p>
    <w:bookmarkEnd w:id="292"/>
    <w:bookmarkStart w:id="29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4"/>
    </w:p>
    <w:p>
      <w:pPr>
        <w:pStyle w:val="FirstParagraph"/>
      </w:pPr>
      <w:bookmarkStart w:id="29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5"/>
    </w:p>
    <w:p>
      <w:pPr>
        <w:pStyle w:val="FirstParagraph"/>
      </w:pPr>
      <w:bookmarkStart w:id="29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8"/>
    </w:p>
    <w:bookmarkEnd w:id="299"/>
    <w:bookmarkStart w:id="324"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3" w:name="fig:sar-orb-example-fig1a"/>
    <w:p>
      <w:pPr>
        <w:pStyle w:val="CaptionedFigure"/>
      </w:pPr>
      <w:r>
        <w:drawing>
          <wp:inline>
            <wp:extent cx="3810000" cy="2540000"/>
            <wp:effectExtent b="0" l="0" r="0" t="0"/>
            <wp:docPr descr="Figure 1: VV intensity; Processing: A. Rosenqvist (soloEO)" title="" id="301" name="Picture"/>
            <a:graphic>
              <a:graphicData uri="http://schemas.openxmlformats.org/drawingml/2006/picture">
                <pic:pic>
                  <pic:nvPicPr>
                    <pic:cNvPr descr="assets/sar-orb-examples/S1-ORB-VV.png" id="302" name="Picture"/>
                    <pic:cNvPicPr>
                      <a:picLocks noChangeArrowheads="1" noChangeAspect="1"/>
                    </pic:cNvPicPr>
                  </pic:nvPicPr>
                  <pic:blipFill>
                    <a:blip r:embed="rId30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3"/>
    <w:bookmarkStart w:id="307" w:name="fig:sar-orb-example-fig1b"/>
    <w:p>
      <w:pPr>
        <w:pStyle w:val="CaptionedFigure"/>
      </w:pPr>
      <w:r>
        <w:drawing>
          <wp:inline>
            <wp:extent cx="3810000" cy="2540000"/>
            <wp:effectExtent b="0" l="0" r="0" t="0"/>
            <wp:docPr descr="Figure 2: VH intensity; Processing: A. Rosenqvist (soloEO)" title="" id="305" name="Picture"/>
            <a:graphic>
              <a:graphicData uri="http://schemas.openxmlformats.org/drawingml/2006/picture">
                <pic:pic>
                  <pic:nvPicPr>
                    <pic:cNvPr descr="assets/sar-orb-examples/S1-ORB-VH.png" id="306" name="Picture"/>
                    <pic:cNvPicPr>
                      <a:picLocks noChangeArrowheads="1" noChangeAspect="1"/>
                    </pic:cNvPicPr>
                  </pic:nvPicPr>
                  <pic:blipFill>
                    <a:blip r:embed="rId30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7"/>
    <w:bookmarkStart w:id="311" w:name="fig:sar-orb-example-fig1c"/>
    <w:p>
      <w:pPr>
        <w:pStyle w:val="CaptionedFigure"/>
      </w:pPr>
      <w:r>
        <w:drawing>
          <wp:inline>
            <wp:extent cx="3810000" cy="2540000"/>
            <wp:effectExtent b="0" l="0" r="0" t="0"/>
            <wp:docPr descr="Figure 3: Data mask image; Processing: A. Rosenqvist (soloEO)" title="" id="309" name="Picture"/>
            <a:graphic>
              <a:graphicData uri="http://schemas.openxmlformats.org/drawingml/2006/picture">
                <pic:pic>
                  <pic:nvPicPr>
                    <pic:cNvPr descr="assets/sar-orb-examples/S1-ORB-data-mask.png" id="310" name="Picture"/>
                    <pic:cNvPicPr>
                      <a:picLocks noChangeArrowheads="1" noChangeAspect="1"/>
                    </pic:cNvPicPr>
                  </pic:nvPicPr>
                  <pic:blipFill>
                    <a:blip r:embed="rId30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1"/>
    <w:bookmarkStart w:id="315" w:name="fig:sar-orb-example-fig1d"/>
    <w:p>
      <w:pPr>
        <w:pStyle w:val="CaptionedFigure"/>
      </w:pPr>
      <w:r>
        <w:drawing>
          <wp:inline>
            <wp:extent cx="3810000" cy="2540000"/>
            <wp:effectExtent b="0" l="0" r="0" t="0"/>
            <wp:docPr descr="Figure 4: Local incident angle; Processing: A. Rosenqvist (soloEO)" title="" id="313" name="Picture"/>
            <a:graphic>
              <a:graphicData uri="http://schemas.openxmlformats.org/drawingml/2006/picture">
                <pic:pic>
                  <pic:nvPicPr>
                    <pic:cNvPr descr="assets/sar-orb-examples/S1-ORB-local-indicident-angle.png" id="314" name="Picture"/>
                    <pic:cNvPicPr>
                      <a:picLocks noChangeArrowheads="1" noChangeAspect="1"/>
                    </pic:cNvPicPr>
                  </pic:nvPicPr>
                  <pic:blipFill>
                    <a:blip r:embed="rId31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5"/>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9" w:name="fig:sar-orb-example-fig2a"/>
    <w:p>
      <w:pPr>
        <w:pStyle w:val="CaptionedFigure"/>
      </w:pPr>
      <w:r>
        <w:drawing>
          <wp:inline>
            <wp:extent cx="3810000" cy="2540000"/>
            <wp:effectExtent b="0" l="0" r="0" t="0"/>
            <wp:docPr descr="Figure 5: ORB intensity (Sigma-Nought); Processing: G. Hajduch (CLS)" title="" id="317" name="Picture"/>
            <a:graphic>
              <a:graphicData uri="http://schemas.openxmlformats.org/drawingml/2006/picture">
                <pic:pic>
                  <pic:nvPicPr>
                    <pic:cNvPr descr="assets/sar-orb-examples/S1-ORB-sigma-nought.png" id="318" name="Picture"/>
                    <pic:cNvPicPr>
                      <a:picLocks noChangeArrowheads="1" noChangeAspect="1"/>
                    </pic:cNvPicPr>
                  </pic:nvPicPr>
                  <pic:blipFill>
                    <a:blip r:embed="rId31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9"/>
    <w:bookmarkStart w:id="323"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1" name="Picture"/>
            <a:graphic>
              <a:graphicData uri="http://schemas.openxmlformats.org/drawingml/2006/picture">
                <pic:pic>
                  <pic:nvPicPr>
                    <pic:cNvPr descr="assets/sar-orb-examples/S1-ORB-intesity-compensated.png" id="322" name="Picture"/>
                    <pic:cNvPicPr>
                      <a:picLocks noChangeArrowheads="1" noChangeAspect="1"/>
                    </pic:cNvPicPr>
                  </pic:nvPicPr>
                  <pic:blipFill>
                    <a:blip r:embed="rId3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2">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4" Target="media/rId304.png" /><Relationship Type="http://schemas.openxmlformats.org/officeDocument/2006/relationships/image" Id="rId300" Target="media/rId300.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2026-03-27T22:27:14Z</dcterms:created>
  <dcterms:modified xsi:type="dcterms:W3CDTF">2026-03-27T22:27:14Z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