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6.png" ContentType="image/png"/>
  <Override PartName="/word/media/rId340.png" ContentType="image/png"/>
  <Override PartName="/word/media/rId344.png" ContentType="image/png"/>
  <Override PartName="/word/media/rId320.jpg" ContentType="image/jpeg"/>
  <Override PartName="/word/media/rId324.jpg" ContentType="image/jpeg"/>
  <Override PartName="/word/media/rId328.png" ContentType="image/png"/>
  <Override PartName="/word/media/rId3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0"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6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1"/>
    <w:bookmarkStart w:id="122"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rd-geob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24"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6"/>
        </w:numPr>
      </w:pPr>
      <w:r>
        <w:t xml:space="preserve">Four corners of the product file are recommended for scenes crossing the Antemeridian, or the North or the South Pole.</w:t>
      </w:r>
    </w:p>
    <w:bookmarkEnd w:id="124"/>
    <w:bookmarkStart w:id="125" w:name="goal-requirements-22"/>
    <w:p>
      <w:pPr>
        <w:pStyle w:val="berschrift5"/>
      </w:pPr>
      <w:r>
        <w:t xml:space="preserve">Goal requirements:</w:t>
      </w:r>
    </w:p>
    <w:p>
      <w:pPr>
        <w:pStyle w:val="FirstParagraph"/>
      </w:pPr>
      <w:r>
        <w:t xml:space="preserve">As threshold.</w:t>
      </w:r>
      <w:r>
        <w:t xml:space="preserve"> </w:t>
      </w:r>
    </w:p>
    <w:bookmarkEnd w:id="125"/>
    <w:bookmarkStart w:id="126"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6"/>
    <w:bookmarkEnd w:id="127"/>
    <w:bookmarkStart w:id="131" w:name="sec:prd-geoare"/>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28"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imgsiz"/>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32"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pxconv"/>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36"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0"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2"/>
    <w:bookmarkEnd w:id="143"/>
    <w:bookmarkStart w:id="147"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4"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pprul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6"/>
    <w:bookmarkEnd w:id="147"/>
    <w:bookmarkStart w:id="151" w:name="sec:prd-sltrng"/>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prd-sltrng</w:t>
      </w:r>
    </w:p>
    <w:bookmarkStart w:id="148"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pslrg">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0"/>
    <w:bookmarkEnd w:id="151"/>
    <w:bookmarkStart w:id="155" w:name="sec:prd-orbgs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prd-orbgsl</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4"/>
    <w:bookmarkEnd w:id="155"/>
    <w:bookmarkEnd w:id="156"/>
    <w:bookmarkStart w:id="21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0"/>
    <w:bookmarkStart w:id="171"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2"/>
    <w:bookmarkStart w:id="183"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6"/>
    <w:bookmarkStart w:id="187"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5"/>
    <w:bookmarkEnd w:id="196"/>
    <w:bookmarkStart w:id="200" w:name="sec:pxl-pprul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pxl-pprulv</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pxl-ppslrg"/>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pxl-ppslrg</w:t>
      </w:r>
    </w:p>
    <w:bookmarkStart w:id="201" w:name="threshold-requirements-41"/>
    <w:p>
      <w:pPr>
        <w:pStyle w:val="berschrift5"/>
      </w:pPr>
      <w:r>
        <w:t xml:space="preserve">Threshold requirements:</w:t>
      </w:r>
    </w:p>
    <w:p>
      <w:pPr>
        <w:pStyle w:val="FirstParagraph"/>
      </w:pPr>
      <w:r>
        <w:t xml:space="preserve">Not required.</w:t>
      </w:r>
      <w:r>
        <w:t xml:space="preserve"> </w:t>
      </w:r>
    </w:p>
    <w:bookmarkEnd w:id="201"/>
    <w:bookmarkStart w:id="202"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2"/>
    <w:bookmarkStart w:id="203"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pxl-ppiphu"/>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pxl-ppiphu</w:t>
      </w:r>
    </w:p>
    <w:bookmarkStart w:id="205" w:name="threshold-requirements-42"/>
    <w:p>
      <w:pPr>
        <w:pStyle w:val="berschrift5"/>
      </w:pPr>
      <w:r>
        <w:t xml:space="preserve">Threshold requirements:</w:t>
      </w:r>
    </w:p>
    <w:p>
      <w:pPr>
        <w:pStyle w:val="FirstParagraph"/>
      </w:pPr>
      <w:r>
        <w:t xml:space="preserve">Not required.</w:t>
      </w:r>
      <w:r>
        <w:t xml:space="preserve"> </w:t>
      </w:r>
    </w:p>
    <w:bookmarkEnd w:id="205"/>
    <w:bookmarkStart w:id="206"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pxl-ppatpc"/>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pxl-ppatpc</w:t>
      </w:r>
    </w:p>
    <w:bookmarkStart w:id="209" w:name="threshold-requirements-43"/>
    <w:p>
      <w:pPr>
        <w:pStyle w:val="berschrift5"/>
      </w:pPr>
      <w:r>
        <w:t xml:space="preserve">Threshold requirements:</w:t>
      </w:r>
    </w:p>
    <w:p>
      <w:pPr>
        <w:pStyle w:val="FirstParagraph"/>
      </w:pPr>
      <w:r>
        <w:t xml:space="preserve">Not required.</w:t>
      </w:r>
      <w:r>
        <w:t xml:space="preserve"> </w:t>
      </w:r>
    </w:p>
    <w:bookmarkEnd w:id="209"/>
    <w:bookmarkStart w:id="210"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pxl-ppion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pxl-ppionc</w:t>
      </w:r>
    </w:p>
    <w:bookmarkStart w:id="213" w:name="threshold-requirements-44"/>
    <w:p>
      <w:pPr>
        <w:pStyle w:val="berschrift5"/>
      </w:pPr>
      <w:r>
        <w:t xml:space="preserve">Threshold requirements:</w:t>
      </w:r>
    </w:p>
    <w:p>
      <w:pPr>
        <w:pStyle w:val="FirstParagraph"/>
      </w:pPr>
      <w:r>
        <w:t xml:space="preserve">Not required.</w:t>
      </w:r>
      <w:r>
        <w:t xml:space="preserve"> </w:t>
      </w:r>
    </w:p>
    <w:bookmarkEnd w:id="213"/>
    <w:bookmarkStart w:id="214"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4"/>
    <w:bookmarkStart w:id="215"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5"/>
    <w:bookmarkEnd w:id="216"/>
    <w:bookmarkEnd w:id="217"/>
    <w:bookmarkStart w:id="24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All files are provided using cloud-optimized file formats.</w:t>
      </w:r>
    </w:p>
    <w:bookmarkEnd w:id="219"/>
    <w:bookmarkStart w:id="220"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0"/>
    <w:bookmarkEnd w:id="221"/>
    <w:bookmarkStart w:id="225" w:name="sec:rcm-bs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rcm-bsgslc</w:t>
      </w:r>
    </w:p>
    <w:bookmarkStart w:id="222"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Transformation to the logarithm decibel scale is not required or desired as this step can be easily completed by the user if necessary.</w:t>
      </w:r>
    </w:p>
    <w:bookmarkEnd w:id="222"/>
    <w:bookmarkStart w:id="223" w:name="goal-requirements-46"/>
    <w:p>
      <w:pPr>
        <w:pStyle w:val="berschrift5"/>
      </w:pPr>
      <w:r>
        <w:t xml:space="preserve">Goal requirements:</w:t>
      </w:r>
    </w:p>
    <w:p>
      <w:pPr>
        <w:pStyle w:val="FirstParagraph"/>
      </w:pPr>
      <w:r>
        <w:t xml:space="preserve">As threshold.</w:t>
      </w:r>
      <w:r>
        <w:t xml:space="preserve"> </w:t>
      </w:r>
    </w:p>
    <w:bookmarkEnd w:id="223"/>
    <w:bookmarkStart w:id="224"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4"/>
    <w:bookmarkEnd w:id="225"/>
    <w:bookmarkStart w:id="22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26"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6"/>
    <w:bookmarkStart w:id="227" w:name="goal-requirements-47"/>
    <w:p>
      <w:pPr>
        <w:pStyle w:val="berschrift5"/>
      </w:pPr>
      <w:r>
        <w:t xml:space="preserve">Goal requirements:</w:t>
      </w:r>
    </w:p>
    <w:p>
      <w:pPr>
        <w:pStyle w:val="FirstParagraph"/>
      </w:pPr>
      <w:r>
        <w:t xml:space="preserve">As threshold, but use of float32.</w:t>
      </w:r>
    </w:p>
    <w:bookmarkEnd w:id="227"/>
    <w:bookmarkStart w:id="228"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28"/>
    <w:bookmarkEnd w:id="229"/>
    <w:bookmarkStart w:id="23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30"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3"/>
        </w:numPr>
      </w:pPr>
      <w:r>
        <w:t xml:space="preserve">Thermal noise removal and image border noise removal to remove overall scene noise and scene edge artefacts, respectively.</w:t>
      </w:r>
    </w:p>
    <w:bookmarkEnd w:id="230"/>
    <w:bookmarkStart w:id="231" w:name="goal-requirements-48"/>
    <w:p>
      <w:pPr>
        <w:pStyle w:val="berschrift5"/>
      </w:pPr>
      <w:r>
        <w:t xml:space="preserve">Goal requirements:</w:t>
      </w:r>
    </w:p>
    <w:p>
      <w:pPr>
        <w:pStyle w:val="FirstParagraph"/>
      </w:pPr>
      <w:r>
        <w:t xml:space="preserve">As threshold.</w:t>
      </w:r>
      <w:r>
        <w:t xml:space="preserve"> </w:t>
      </w:r>
    </w:p>
    <w:bookmarkEnd w:id="231"/>
    <w:bookmarkStart w:id="232"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2"/>
    <w:bookmarkEnd w:id="233"/>
    <w:bookmarkStart w:id="237" w:name="sec:rcm-rtagsl"/>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rcm-rtagsl</w:t>
      </w:r>
    </w:p>
    <w:bookmarkStart w:id="234" w:name="threshold-requirements-49"/>
    <w:p>
      <w:pPr>
        <w:pStyle w:val="berschrift5"/>
      </w:pPr>
      <w:r>
        <w:t xml:space="preserve">Threshold requirements:</w:t>
      </w:r>
    </w:p>
    <w:p>
      <w:pPr>
        <w:pStyle w:val="FirstParagraph"/>
      </w:pPr>
      <w:r>
        <w:t xml:space="preserve">Not required.</w:t>
      </w:r>
      <w:r>
        <w:t xml:space="preserve"> </w:t>
      </w:r>
    </w:p>
    <w:bookmarkEnd w:id="234"/>
    <w:bookmarkStart w:id="235"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6"/>
        </w:numPr>
      </w:pPr>
      <w:r>
        <w:t xml:space="preserve">Examples of technical documentation include an Algorithm, Theoretical Basis Document, product user guide, etc.</w:t>
      </w:r>
    </w:p>
    <w:bookmarkEnd w:id="235"/>
    <w:bookmarkStart w:id="236"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6"/>
    <w:bookmarkEnd w:id="237"/>
    <w:bookmarkStart w:id="24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9"/>
    <w:bookmarkStart w:id="240"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0"/>
    <w:bookmarkEnd w:id="241"/>
    <w:bookmarkEnd w:id="242"/>
    <w:bookmarkStart w:id="26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6"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43" w:name="threshold-requirements-51"/>
    <w:p>
      <w:pPr>
        <w:pStyle w:val="berschrift5"/>
      </w:pPr>
      <w:r>
        <w:t xml:space="preserve">Threshold requirements:</w:t>
      </w:r>
    </w:p>
    <w:p>
      <w:pPr>
        <w:pStyle w:val="FirstParagraph"/>
      </w:pPr>
      <w:r>
        <w:t xml:space="preserve">Not required.</w:t>
      </w:r>
      <w:r>
        <w:t xml:space="preserve"> </w:t>
      </w:r>
    </w:p>
    <w:bookmarkEnd w:id="243"/>
    <w:bookmarkStart w:id="244"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Notes:</w:t>
      </w:r>
    </w:p>
    <w:p>
      <w:pPr>
        <w:pStyle w:val="Compact"/>
        <w:numPr>
          <w:ilvl w:val="0"/>
          <w:numId w:val="1090"/>
        </w:numPr>
      </w:pPr>
      <w:r>
        <w:t xml:space="preserve">Examples of technical documentation can include e.g., an Algorithm Theoretical Basis Document (ATBD) or a product user guide.</w:t>
      </w:r>
    </w:p>
    <w:bookmarkEnd w:id="244"/>
    <w:bookmarkStart w:id="245"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5"/>
    <w:bookmarkEnd w:id="246"/>
    <w:bookmarkStart w:id="250"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47"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7"/>
    <w:bookmarkStart w:id="248"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48"/>
    <w:bookmarkStart w:id="249"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49"/>
    <w:bookmarkEnd w:id="250"/>
    <w:bookmarkStart w:id="254"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51"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1"/>
    <w:bookmarkStart w:id="252"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2"/>
    <w:bookmarkStart w:id="253"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3"/>
    <w:bookmarkEnd w:id="254"/>
    <w:bookmarkStart w:id="258"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55" w:name="threshold-requirements-54"/>
    <w:p>
      <w:pPr>
        <w:pStyle w:val="berschrift5"/>
      </w:pPr>
      <w:r>
        <w:t xml:space="preserve">Threshold requirements:</w:t>
      </w:r>
    </w:p>
    <w:p>
      <w:pPr>
        <w:pStyle w:val="FirstParagraph"/>
      </w:pPr>
      <w:r>
        <w:t xml:space="preserve">Not required.</w:t>
      </w:r>
      <w:r>
        <w:t xml:space="preserve"> </w:t>
      </w:r>
    </w:p>
    <w:bookmarkEnd w:id="255"/>
    <w:bookmarkStart w:id="256" w:name="goal-requirements-54"/>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6"/>
    <w:bookmarkStart w:id="257"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7"/>
    <w:bookmarkEnd w:id="258"/>
    <w:bookmarkStart w:id="262"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59"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59"/>
    <w:bookmarkStart w:id="260"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0"/>
    <w:bookmarkStart w:id="261"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1"/>
    <w:bookmarkEnd w:id="262"/>
    <w:bookmarkEnd w:id="263"/>
    <w:bookmarkEnd w:id="264"/>
    <w:bookmarkStart w:id="271" w:name="summary-self-assessment-table"/>
    <w:p>
      <w:pPr>
        <w:pStyle w:val="berschrift2"/>
      </w:pPr>
      <w:r>
        <w:t xml:space="preserve">Summary Self-Assessment Table</w:t>
      </w:r>
    </w:p>
    <w:bookmarkStart w:id="26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5"/>
    <w:bookmarkStart w:id="26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6"/>
    <w:bookmarkStart w:id="26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prd-sltrng</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prd-orbgsl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7"/>
    <w:bookmarkStart w:id="26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pxl-pprulv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pxl-ppslrg</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pxl-ppiphu</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pxl-ppatpc</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pxl-ppionc</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8"/>
    <w:bookmarkStart w:id="26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rcm-rtagsl</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9"/>
    <w:bookmarkStart w:id="27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70"/>
    <w:bookmarkEnd w:id="271"/>
    <w:bookmarkStart w:id="27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2"/>
    <w:bookmarkStart w:id="27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4"/>
    <w:bookmarkStart w:id="27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5"/>
    <w:bookmarkEnd w:id="276"/>
    <w:bookmarkStart w:id="295" w:name="references"/>
    <w:p>
      <w:pPr>
        <w:pStyle w:val="berschrift2"/>
      </w:pPr>
      <w:r>
        <w:t xml:space="preserve">References</w:t>
      </w:r>
    </w:p>
    <w:bookmarkStart w:id="294" w:name="refs"/>
    <w:bookmarkStart w:id="27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7"/>
    <w:bookmarkStart w:id="27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8">
        <w:r>
          <w:rPr>
            <w:rStyle w:val="Hyperlink"/>
          </w:rPr>
          <w:t xml:space="preserve">https://doi.org/10.1109/TGRS.2008.2002881</w:t>
        </w:r>
      </w:hyperlink>
      <w:r>
        <w:t xml:space="preserve">.</w:t>
      </w:r>
    </w:p>
    <w:bookmarkEnd w:id="279"/>
    <w:bookmarkStart w:id="28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0">
        <w:r>
          <w:rPr>
            <w:rStyle w:val="Hyperlink"/>
          </w:rPr>
          <w:t xml:space="preserve">https://doi.org/10.1029/2011JE003986</w:t>
        </w:r>
      </w:hyperlink>
      <w:r>
        <w:t xml:space="preserve">.</w:t>
      </w:r>
    </w:p>
    <w:bookmarkEnd w:id="281"/>
    <w:bookmarkStart w:id="28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2">
        <w:r>
          <w:rPr>
            <w:rStyle w:val="Hyperlink"/>
          </w:rPr>
          <w:t xml:space="preserve">https://doi.org/10.1109/TGRS.2022.3147472</w:t>
        </w:r>
      </w:hyperlink>
      <w:r>
        <w:t xml:space="preserve">.</w:t>
      </w:r>
    </w:p>
    <w:bookmarkEnd w:id="283"/>
    <w:bookmarkStart w:id="28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4">
        <w:r>
          <w:rPr>
            <w:rStyle w:val="Hyperlink"/>
          </w:rPr>
          <w:t xml:space="preserve">https://doi.org/10.1109/TGRS.2011.2120616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Start w:id="293"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2">
        <w:r>
          <w:rPr>
            <w:rStyle w:val="Hyperlink"/>
          </w:rPr>
          <w:t xml:space="preserve">https://doi.org/10.1109/JSTARS.2017.2697861</w:t>
        </w:r>
      </w:hyperlink>
      <w:r>
        <w:t xml:space="preserve">.</w:t>
      </w:r>
    </w:p>
    <w:bookmarkEnd w:id="293"/>
    <w:bookmarkEnd w:id="294"/>
    <w:p>
      <w:r>
        <w:br w:type="page"/>
      </w:r>
    </w:p>
    <w:bookmarkEnd w:id="295"/>
    <w:bookmarkStart w:id="349" w:name="annexes"/>
    <w:p>
      <w:pPr>
        <w:pStyle w:val="berschrift2"/>
      </w:pPr>
      <w:r>
        <w:t xml:space="preserve">Annexes</w:t>
      </w:r>
    </w:p>
    <w:bookmarkStart w:id="297"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6"/>
    <w:bookmarkEnd w:id="297"/>
    <w:bookmarkStart w:id="309"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8"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8"/>
    </w:p>
    <w:p>
      <w:pPr>
        <w:pStyle w:val="FirstParagraph"/>
      </w:pPr>
      <w:r>
        <w:t xml:space="preserve">Where</w:t>
      </w:r>
    </w:p>
    <w:p>
      <w:pPr>
        <w:pStyle w:val="Textkrper"/>
      </w:pPr>
      <w:bookmarkStart w:id="299"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9"/>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0"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0"/>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1"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1"/>
    </w:p>
    <w:p>
      <w:pPr>
        <w:pStyle w:val="FirstParagraph"/>
      </w:pPr>
      <w:bookmarkStart w:id="302"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2"/>
    </w:p>
    <w:p>
      <w:pPr>
        <w:pStyle w:val="FirstParagraph"/>
      </w:pPr>
      <w:r>
        <w:t xml:space="preserve">The differential phase is</w:t>
      </w:r>
    </w:p>
    <w:p>
      <w:pPr>
        <w:pStyle w:val="Textkrper"/>
      </w:pPr>
      <w:bookmarkStart w:id="303"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3"/>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4"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4"/>
    </w:p>
    <w:p>
      <w:pPr>
        <w:pStyle w:val="FirstParagraph"/>
      </w:pPr>
      <w:bookmarkStart w:id="305"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5"/>
    </w:p>
    <w:p>
      <w:pPr>
        <w:pStyle w:val="FirstParagraph"/>
      </w:pPr>
      <w:bookmarkStart w:id="306"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6"/>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7"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7"/>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8"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8"/>
    </w:p>
    <w:bookmarkEnd w:id="309"/>
    <w:bookmarkStart w:id="316"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0"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0"/>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1"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1"/>
    </w:p>
    <w:p>
      <w:pPr>
        <w:pStyle w:val="FirstParagraph"/>
      </w:pPr>
      <w:bookmarkStart w:id="312"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2"/>
    </w:p>
    <w:p>
      <w:pPr>
        <w:pStyle w:val="FirstParagraph"/>
      </w:pPr>
      <w:bookmarkStart w:id="313"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3"/>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4"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4"/>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5"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5"/>
    </w:p>
    <w:bookmarkEnd w:id="316"/>
    <w:bookmarkStart w:id="348"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7"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7"/>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8"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8"/>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9"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9"/>
    </w:p>
    <w:p>
      <w:pPr>
        <w:pStyle w:val="FirstParagraph"/>
      </w:pPr>
      <w:r>
        <w:t xml:space="preserve">The following figures show Sentinel-1 GSLC product examples over Death Valley National Park, California, US:</w:t>
      </w:r>
    </w:p>
    <w:bookmarkStart w:id="323" w:name="fig:sar-gslc-example-fig1a"/>
    <w:p>
      <w:pPr>
        <w:pStyle w:val="CaptionedFigure"/>
      </w:pPr>
      <w:r>
        <w:drawing>
          <wp:inline>
            <wp:extent cx="3419475" cy="1743075"/>
            <wp:effectExtent b="0" l="0" r="0" t="0"/>
            <wp:docPr descr="Figure 1: GSLC1: Intensity data of the first GSLC product (2017-05-27)" title="" id="321" name="Picture"/>
            <a:graphic>
              <a:graphicData uri="http://schemas.openxmlformats.org/drawingml/2006/picture">
                <pic:pic>
                  <pic:nvPicPr>
                    <pic:cNvPr descr="assets/sar-gslc-example/S1-GSLC1.jpeg" id="322" name="Picture"/>
                    <pic:cNvPicPr>
                      <a:picLocks noChangeArrowheads="1" noChangeAspect="1"/>
                    </pic:cNvPicPr>
                  </pic:nvPicPr>
                  <pic:blipFill>
                    <a:blip r:embed="rId320"/>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3"/>
    <w:bookmarkStart w:id="327" w:name="fig:sar-gslc-example-fig1b"/>
    <w:p>
      <w:pPr>
        <w:pStyle w:val="CaptionedFigure"/>
      </w:pPr>
      <w:r>
        <w:drawing>
          <wp:inline>
            <wp:extent cx="3419475" cy="1666875"/>
            <wp:effectExtent b="0" l="0" r="0" t="0"/>
            <wp:docPr descr="Figure 2: GSLC2: Intensity data of the second GSLC product (2017-06-08)" title="" id="325" name="Picture"/>
            <a:graphic>
              <a:graphicData uri="http://schemas.openxmlformats.org/drawingml/2006/picture">
                <pic:pic>
                  <pic:nvPicPr>
                    <pic:cNvPr descr="assets/sar-gslc-example/S1-GSLC2.jpeg" id="326" name="Picture"/>
                    <pic:cNvPicPr>
                      <a:picLocks noChangeArrowheads="1" noChangeAspect="1"/>
                    </pic:cNvPicPr>
                  </pic:nvPicPr>
                  <pic:blipFill>
                    <a:blip r:embed="rId324"/>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7"/>
    <w:bookmarkStart w:id="331" w:name="fig:sar-gslc-example-fig1c"/>
    <w:p>
      <w:pPr>
        <w:pStyle w:val="CaptionedFigure"/>
      </w:pPr>
      <w:r>
        <w:drawing>
          <wp:inline>
            <wp:extent cx="3810000" cy="2540000"/>
            <wp:effectExtent b="0" l="0" r="0" t="0"/>
            <wp:docPr descr="Figure 3: InSAR coherence map generated directly from Figure 1 and Figure 2" title="" id="329" name="Picture"/>
            <a:graphic>
              <a:graphicData uri="http://schemas.openxmlformats.org/drawingml/2006/picture">
                <pic:pic>
                  <pic:nvPicPr>
                    <pic:cNvPr descr="assets/sar-gslc-example/S1-InSAR-coherence.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1"/>
    <w:bookmarkStart w:id="335" w:name="fig:sar-gslc-example-fig1d"/>
    <w:p>
      <w:pPr>
        <w:pStyle w:val="CaptionedFigure"/>
      </w:pPr>
      <w:r>
        <w:drawing>
          <wp:inline>
            <wp:extent cx="3810000" cy="2540000"/>
            <wp:effectExtent b="0" l="0" r="0" t="0"/>
            <wp:docPr descr="Figure 4: InSAR differential phase map generated directly from Figure 1 and Figure 2" title="" id="333" name="Picture"/>
            <a:graphic>
              <a:graphicData uri="http://schemas.openxmlformats.org/drawingml/2006/picture">
                <pic:pic>
                  <pic:nvPicPr>
                    <pic:cNvPr descr="assets/sar-gslc-example/S1-InSAR-differential-phase.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5"/>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9" w:name="fig:sar-gslc-example-fig2a"/>
    <w:p>
      <w:pPr>
        <w:pStyle w:val="CaptionedFigure"/>
      </w:pPr>
      <w:r>
        <w:drawing>
          <wp:inline>
            <wp:extent cx="3810000" cy="2540000"/>
            <wp:effectExtent b="0" l="0" r="0" t="0"/>
            <wp:docPr descr="Figure 5: x unit component" title="" id="337" name="Picture"/>
            <a:graphic>
              <a:graphicData uri="http://schemas.openxmlformats.org/drawingml/2006/picture">
                <pic:pic>
                  <pic:nvPicPr>
                    <pic:cNvPr descr="assets/sar-gslc-example/S1-GSLC-x-component.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9"/>
    <w:bookmarkStart w:id="343" w:name="fig:sar-gslc-example-fig2b"/>
    <w:p>
      <w:pPr>
        <w:pStyle w:val="CaptionedFigure"/>
      </w:pPr>
      <w:r>
        <w:drawing>
          <wp:inline>
            <wp:extent cx="3810000" cy="2540000"/>
            <wp:effectExtent b="0" l="0" r="0" t="0"/>
            <wp:docPr descr="Figure 6: y unit component" title="" id="341" name="Picture"/>
            <a:graphic>
              <a:graphicData uri="http://schemas.openxmlformats.org/drawingml/2006/picture">
                <pic:pic>
                  <pic:nvPicPr>
                    <pic:cNvPr descr="assets/sar-gslc-example/S1-GSLC-y-component.png" id="342" name="Picture"/>
                    <pic:cNvPicPr>
                      <a:picLocks noChangeArrowheads="1" noChangeAspect="1"/>
                    </pic:cNvPicPr>
                  </pic:nvPicPr>
                  <pic:blipFill>
                    <a:blip r:embed="rId3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3"/>
    <w:bookmarkStart w:id="347" w:name="fig:sar-gslc-example-fig2c"/>
    <w:p>
      <w:pPr>
        <w:pStyle w:val="CaptionedFigure"/>
      </w:pPr>
      <w:r>
        <w:drawing>
          <wp:inline>
            <wp:extent cx="3810000" cy="2540000"/>
            <wp:effectExtent b="0" l="0" r="0" t="0"/>
            <wp:docPr descr="Figure 7: z unit component" title="" id="345" name="Picture"/>
            <a:graphic>
              <a:graphicData uri="http://schemas.openxmlformats.org/drawingml/2006/picture">
                <pic:pic>
                  <pic:nvPicPr>
                    <pic:cNvPr descr="assets/sar-gslc-example/S1-GSLC-z-component.png" id="346" name="Picture"/>
                    <pic:cNvPicPr>
                      <a:picLocks noChangeArrowheads="1" noChangeAspect="1"/>
                    </pic:cNvPicPr>
                  </pic:nvPicPr>
                  <pic:blipFill>
                    <a:blip r:embed="rId3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7"/>
    <w:bookmarkEnd w:id="348"/>
    <w:bookmarkEnd w:id="349"/>
    <w:bookmarkEnd w:id="35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20" Target="media/rId320.jpg" /><Relationship Type="http://schemas.openxmlformats.org/officeDocument/2006/relationships/image" Id="rId324" Target="media/rId324.jp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2026-03-29T17:22:36Z</dcterms:created>
  <dcterms:modified xsi:type="dcterms:W3CDTF">2026-03-29T17:22:36Z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