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0.jpg" ContentType="image/jpeg"/>
  <Override PartName="/word/media/rId31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29"/>
    <w:bookmarkStart w:id="31"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30"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0"/>
    <w:bookmarkEnd w:id="31"/>
    <w:bookmarkStart w:id="32"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2"/>
    <w:bookmarkStart w:id="24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3"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7"/>
    <w:bookmarkStart w:id="38"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1"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1"/>
    <w:bookmarkStart w:id="42" w:name="goal-requirements-2"/>
    <w:p>
      <w:pPr>
        <w:pStyle w:val="berschrift5"/>
      </w:pPr>
      <w:r>
        <w:t xml:space="preserve">Goal requirements:</w:t>
      </w:r>
    </w:p>
    <w:p>
      <w:pPr>
        <w:pStyle w:val="FirstParagraph"/>
      </w:pPr>
      <w:r>
        <w:t xml:space="preserve">As threshold.</w:t>
      </w:r>
      <w:r>
        <w:t xml:space="preserve"> </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5" w:name="threshold-requirements-3"/>
    <w:p>
      <w:pPr>
        <w:pStyle w:val="berschrift5"/>
      </w:pPr>
      <w:r>
        <w:t xml:space="preserve">Threshold requirements:</w:t>
      </w:r>
    </w:p>
    <w:p>
      <w:pPr>
        <w:pStyle w:val="FirstParagraph"/>
      </w:pPr>
      <w:r>
        <w:t xml:space="preserve">Reference to CEOS-ARD PFS document as URL.</w:t>
      </w:r>
    </w:p>
    <w:bookmarkEnd w:id="45"/>
    <w:bookmarkStart w:id="46" w:name="goal-requirements-3"/>
    <w:p>
      <w:pPr>
        <w:pStyle w:val="berschrift5"/>
      </w:pPr>
      <w:r>
        <w:t xml:space="preserve">Goal requirements:</w:t>
      </w:r>
    </w:p>
    <w:p>
      <w:pPr>
        <w:pStyle w:val="FirstParagraph"/>
      </w:pPr>
      <w:r>
        <w:t xml:space="preserve">As threshold.</w:t>
      </w:r>
      <w:r>
        <w:t xml:space="preserve"> </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9"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1"/>
    <w:bookmarkEnd w:id="52"/>
    <w:bookmarkEnd w:id="53"/>
    <w:bookmarkStart w:id="108"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7"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4"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4"/>
    <w:bookmarkStart w:id="55" w:name="goal-requirements-5"/>
    <w:p>
      <w:pPr>
        <w:pStyle w:val="berschrift5"/>
      </w:pPr>
      <w:r>
        <w:t xml:space="preserve">Goal requirements:</w:t>
      </w:r>
    </w:p>
    <w:p>
      <w:pPr>
        <w:pStyle w:val="FirstParagraph"/>
      </w:pPr>
      <w:r>
        <w:t xml:space="preserve">As threshold.</w:t>
      </w:r>
      <w:r>
        <w:t xml:space="preserve"> </w:t>
      </w:r>
    </w:p>
    <w:bookmarkEnd w:id="55"/>
    <w:bookmarkStart w:id="56"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8"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8"/>
    <w:bookmarkStart w:id="59"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9"/>
    <w:bookmarkStart w:id="60"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6"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2"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2"/>
    <w:bookmarkStart w:id="64" w:name="goal-requirements-7"/>
    <w:p>
      <w:pPr>
        <w:pStyle w:val="berschrift5"/>
      </w:pPr>
      <w:r>
        <w:t xml:space="preserve">Goal requirements:</w:t>
      </w:r>
    </w:p>
    <w:p>
      <w:pPr>
        <w:pStyle w:val="FirstParagraph"/>
      </w:pPr>
      <w:r>
        <w:t xml:space="preserve">As threshold, but including a reference to the relevant</w:t>
      </w:r>
      <w:r>
        <w:t xml:space="preserve"> </w:t>
      </w:r>
      <w:hyperlink r:id="rId63">
        <w:r>
          <w:rPr>
            <w:rStyle w:val="Hyperlink"/>
          </w:rPr>
          <w:t xml:space="preserve">CEOS Missions, Instruments and Measurements Database</w:t>
        </w:r>
      </w:hyperlink>
      <w:r>
        <w:t xml:space="preserve"> </w:t>
      </w:r>
      <w:r>
        <w:t xml:space="preserve">record.</w:t>
      </w:r>
    </w:p>
    <w:bookmarkEnd w:id="64"/>
    <w:bookmarkStart w:id="65"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7"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7"/>
    <w:bookmarkStart w:id="68" w:name="goal-requirements-8"/>
    <w:p>
      <w:pPr>
        <w:pStyle w:val="berschrift5"/>
      </w:pPr>
      <w:r>
        <w:t xml:space="preserve">Goal requirements:</w:t>
      </w:r>
    </w:p>
    <w:p>
      <w:pPr>
        <w:pStyle w:val="FirstParagraph"/>
      </w:pPr>
      <w:r>
        <w:t xml:space="preserve">As threshold.</w:t>
      </w:r>
      <w:r>
        <w:t xml:space="preserve"> </w:t>
      </w:r>
    </w:p>
    <w:bookmarkEnd w:id="68"/>
    <w:bookmarkStart w:id="69"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1"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1"/>
    <w:bookmarkStart w:id="72" w:name="goal-requirements-9"/>
    <w:p>
      <w:pPr>
        <w:pStyle w:val="berschrift5"/>
      </w:pPr>
      <w:r>
        <w:t xml:space="preserve">Goal requirements:</w:t>
      </w:r>
    </w:p>
    <w:p>
      <w:pPr>
        <w:pStyle w:val="FirstParagraph"/>
      </w:pPr>
      <w:r>
        <w:t xml:space="preserve">As threshold.</w:t>
      </w:r>
      <w:r>
        <w:t xml:space="preserve"> </w:t>
      </w:r>
    </w:p>
    <w:bookmarkEnd w:id="72"/>
    <w:bookmarkStart w:id="73"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3"/>
    <w:bookmarkEnd w:id="74"/>
    <w:bookmarkStart w:id="79"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6"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5"/>
      </w:r>
    </w:p>
    <w:p>
      <w:pPr>
        <w:pStyle w:val="Compact"/>
        <w:numPr>
          <w:ilvl w:val="0"/>
          <w:numId w:val="1016"/>
        </w:numPr>
      </w:pPr>
      <w:r>
        <w:t xml:space="preserve">Orbit data source (e.g., predicted, definite, precise, downlinked, etc.)</w:t>
      </w:r>
    </w:p>
    <w:bookmarkEnd w:id="76"/>
    <w:bookmarkStart w:id="77"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7"/>
    <w:bookmarkStart w:id="78"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8"/>
    <w:bookmarkEnd w:id="79"/>
    <w:bookmarkStart w:id="83"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80"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0"/>
    <w:bookmarkStart w:id="81"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1"/>
    <w:bookmarkStart w:id="82"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2"/>
    <w:bookmarkEnd w:id="83"/>
    <w:bookmarkStart w:id="87"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4"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4"/>
    <w:bookmarkStart w:id="85"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8" w:name="threshold-requirements-13"/>
    <w:p>
      <w:pPr>
        <w:pStyle w:val="berschrift5"/>
      </w:pPr>
      <w:r>
        <w:t xml:space="preserve">Threshold requirements:</w:t>
      </w:r>
    </w:p>
    <w:p>
      <w:pPr>
        <w:pStyle w:val="FirstParagraph"/>
      </w:pPr>
      <w:r>
        <w:t xml:space="preserve">Not required.</w:t>
      </w:r>
      <w:r>
        <w:t xml:space="preserve"> </w:t>
      </w:r>
    </w:p>
    <w:bookmarkEnd w:id="88"/>
    <w:bookmarkStart w:id="89"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9"/>
    <w:bookmarkStart w:id="90"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0"/>
    <w:bookmarkEnd w:id="91"/>
    <w:bookmarkStart w:id="95"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2"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2"/>
    <w:bookmarkStart w:id="93"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3"/>
    <w:bookmarkStart w:id="94"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4"/>
    <w:bookmarkEnd w:id="95"/>
    <w:bookmarkStart w:id="99"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6" w:name="threshold-requirements-15"/>
    <w:p>
      <w:pPr>
        <w:pStyle w:val="berschrift5"/>
      </w:pPr>
      <w:r>
        <w:t xml:space="preserve">Threshold requirements:</w:t>
      </w:r>
    </w:p>
    <w:p>
      <w:pPr>
        <w:pStyle w:val="FirstParagraph"/>
      </w:pPr>
      <w:r>
        <w:t xml:space="preserve">Not required.</w:t>
      </w:r>
      <w:r>
        <w:t xml:space="preserve"> </w:t>
      </w:r>
    </w:p>
    <w:bookmarkEnd w:id="96"/>
    <w:bookmarkStart w:id="97"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7"/>
    <w:bookmarkStart w:id="98"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8"/>
    <w:bookmarkEnd w:id="99"/>
    <w:bookmarkStart w:id="103"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1"/>
    <w:bookmarkStart w:id="102"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2"/>
    <w:bookmarkEnd w:id="103"/>
    <w:bookmarkStart w:id="107"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4" w:name="threshold-requirements-17"/>
    <w:p>
      <w:pPr>
        <w:pStyle w:val="berschrift5"/>
      </w:pPr>
      <w:r>
        <w:t xml:space="preserve">Threshold requirements:</w:t>
      </w:r>
    </w:p>
    <w:p>
      <w:pPr>
        <w:pStyle w:val="FirstParagraph"/>
      </w:pPr>
      <w:r>
        <w:t xml:space="preserve">Not required.</w:t>
      </w:r>
      <w:r>
        <w:t xml:space="preserve"> </w:t>
      </w:r>
    </w:p>
    <w:bookmarkEnd w:id="104"/>
    <w:bookmarkStart w:id="105"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5"/>
    <w:bookmarkStart w:id="106"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6"/>
    <w:bookmarkEnd w:id="107"/>
    <w:bookmarkEnd w:id="108"/>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2"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9"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9"/>
    <w:bookmarkStart w:id="110"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0"/>
    <w:bookmarkStart w:id="111"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1"/>
    <w:bookmarkEnd w:id="112"/>
    <w:bookmarkStart w:id="116"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3" w:name="threshold-requirements-19"/>
    <w:p>
      <w:pPr>
        <w:pStyle w:val="berschrift5"/>
      </w:pPr>
      <w:r>
        <w:t xml:space="preserve">Threshold requirements:</w:t>
      </w:r>
    </w:p>
    <w:p>
      <w:pPr>
        <w:pStyle w:val="FirstParagraph"/>
      </w:pPr>
      <w:r>
        <w:t xml:space="preserve">Not required.</w:t>
      </w:r>
      <w:r>
        <w:t xml:space="preserve"> </w:t>
      </w:r>
    </w:p>
    <w:bookmarkEnd w:id="113"/>
    <w:bookmarkStart w:id="114"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4"/>
    <w:bookmarkStart w:id="115"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5"/>
    <w:bookmarkEnd w:id="116"/>
    <w:bookmarkStart w:id="120"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7"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7"/>
    <w:bookmarkStart w:id="118" w:name="goal-requirements-20"/>
    <w:p>
      <w:pPr>
        <w:pStyle w:val="berschrift5"/>
      </w:pPr>
      <w:r>
        <w:t xml:space="preserve">Goal requirements:</w:t>
      </w:r>
    </w:p>
    <w:p>
      <w:pPr>
        <w:pStyle w:val="FirstParagraph"/>
      </w:pPr>
      <w:r>
        <w:t xml:space="preserve">As threshold.</w:t>
      </w:r>
      <w:r>
        <w:t xml:space="preserve"> </w:t>
      </w:r>
    </w:p>
    <w:bookmarkEnd w:id="118"/>
    <w:bookmarkStart w:id="119"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9"/>
    <w:bookmarkEnd w:id="120"/>
    <w:bookmarkStart w:id="124"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1" w:name="threshold-requirements-21"/>
    <w:p>
      <w:pPr>
        <w:pStyle w:val="berschrift5"/>
      </w:pPr>
      <w:r>
        <w:t xml:space="preserve">Threshold requirements:</w:t>
      </w:r>
    </w:p>
    <w:p>
      <w:pPr>
        <w:pStyle w:val="FirstParagraph"/>
      </w:pPr>
      <w:r>
        <w:t xml:space="preserve">Not required.</w:t>
      </w:r>
      <w:r>
        <w:t xml:space="preserve"> </w:t>
      </w:r>
    </w:p>
    <w:bookmarkEnd w:id="121"/>
    <w:bookmarkStart w:id="122" w:name="goal-requirements-21"/>
    <w:p>
      <w:pPr>
        <w:pStyle w:val="berschrift5"/>
      </w:pPr>
      <w:r>
        <w:t xml:space="preserve">Goal requirements:</w:t>
      </w:r>
    </w:p>
    <w:p>
      <w:pPr>
        <w:pStyle w:val="FirstParagraph"/>
      </w:pPr>
      <w:r>
        <w:t xml:space="preserve">Equivalent Number of Looks (ENL)</w:t>
      </w:r>
    </w:p>
    <w:bookmarkEnd w:id="122"/>
    <w:bookmarkStart w:id="123"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3"/>
    <w:bookmarkEnd w:id="124"/>
    <w:bookmarkStart w:id="128"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5" w:name="threshold-requirements-22"/>
    <w:p>
      <w:pPr>
        <w:pStyle w:val="berschrift5"/>
      </w:pPr>
      <w:r>
        <w:t xml:space="preserve">Threshold requirements:</w:t>
      </w:r>
    </w:p>
    <w:p>
      <w:pPr>
        <w:pStyle w:val="FirstParagraph"/>
      </w:pPr>
      <w:r>
        <w:t xml:space="preserve">Not required.</w:t>
      </w:r>
      <w:r>
        <w:t xml:space="preserve"> </w:t>
      </w:r>
    </w:p>
    <w:bookmarkEnd w:id="125"/>
    <w:bookmarkStart w:id="126"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rd-spk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prd-spkpol</w:t>
      </w:r>
    </w:p>
    <w:bookmarkStart w:id="129"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29"/>
    <w:bookmarkStart w:id="130" w:name="goal-requirements-23"/>
    <w:p>
      <w:pPr>
        <w:pStyle w:val="berschrift5"/>
      </w:pPr>
      <w:r>
        <w:t xml:space="preserve">Goal requirements:</w:t>
      </w:r>
    </w:p>
    <w:p>
      <w:pPr>
        <w:pStyle w:val="FirstParagraph"/>
      </w:pPr>
      <w:r>
        <w:t xml:space="preserve">As threshold.</w:t>
      </w:r>
      <w:r>
        <w:t xml:space="preserve"> </w:t>
      </w:r>
    </w:p>
    <w:bookmarkEnd w:id="130"/>
    <w:bookmarkStart w:id="131"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1"/>
    <w:bookmarkEnd w:id="132"/>
    <w:bookmarkStart w:id="136"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3"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3"/>
    <w:bookmarkStart w:id="134" w:name="goal-requirements-24"/>
    <w:p>
      <w:pPr>
        <w:pStyle w:val="berschrift5"/>
      </w:pPr>
      <w:r>
        <w:t xml:space="preserve">Goal requirements:</w:t>
      </w:r>
    </w:p>
    <w:p>
      <w:pPr>
        <w:pStyle w:val="FirstParagraph"/>
      </w:pPr>
      <w:r>
        <w:t xml:space="preserve">As threshold.</w:t>
      </w:r>
      <w:r>
        <w:t xml:space="preserve"> </w:t>
      </w:r>
    </w:p>
    <w:bookmarkEnd w:id="134"/>
    <w:bookmarkStart w:id="135"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5"/>
    <w:bookmarkEnd w:id="136"/>
    <w:bookmarkStart w:id="140"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7"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7"/>
    <w:bookmarkStart w:id="138" w:name="goal-requirements-25"/>
    <w:p>
      <w:pPr>
        <w:pStyle w:val="berschrift5"/>
      </w:pPr>
      <w:r>
        <w:t xml:space="preserve">Goal requirements:</w:t>
      </w:r>
    </w:p>
    <w:p>
      <w:pPr>
        <w:pStyle w:val="FirstParagraph"/>
      </w:pPr>
      <w:r>
        <w:t xml:space="preserve">As threshold.</w:t>
      </w:r>
      <w:r>
        <w:t xml:space="preserve"> </w:t>
      </w:r>
    </w:p>
    <w:bookmarkEnd w:id="138"/>
    <w:bookmarkStart w:id="139"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9"/>
    <w:bookmarkEnd w:id="140"/>
    <w:bookmarkStart w:id="144"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1"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1"/>
    <w:bookmarkStart w:id="142" w:name="goal-requirements-26"/>
    <w:p>
      <w:pPr>
        <w:pStyle w:val="berschrift5"/>
      </w:pPr>
      <w:r>
        <w:t xml:space="preserve">Goal requirements:</w:t>
      </w:r>
    </w:p>
    <w:p>
      <w:pPr>
        <w:pStyle w:val="FirstParagraph"/>
      </w:pPr>
      <w:r>
        <w:t xml:space="preserve">As threshold.</w:t>
      </w:r>
      <w:r>
        <w:t xml:space="preserve"> </w:t>
      </w:r>
    </w:p>
    <w:bookmarkEnd w:id="142"/>
    <w:bookmarkStart w:id="143"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3"/>
    <w:bookmarkEnd w:id="144"/>
    <w:bookmarkStart w:id="148"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5"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5"/>
    <w:bookmarkStart w:id="146" w:name="goal-requirements-27"/>
    <w:p>
      <w:pPr>
        <w:pStyle w:val="berschrift5"/>
      </w:pPr>
      <w:r>
        <w:t xml:space="preserve">Goal requirements:</w:t>
      </w:r>
    </w:p>
    <w:p>
      <w:pPr>
        <w:pStyle w:val="FirstParagraph"/>
      </w:pPr>
      <w:r>
        <w:t xml:space="preserve">As threshold.</w:t>
      </w:r>
      <w:r>
        <w:t xml:space="preserve"> </w:t>
      </w:r>
    </w:p>
    <w:bookmarkEnd w:id="146"/>
    <w:bookmarkStart w:id="147"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7"/>
    <w:bookmarkEnd w:id="148"/>
    <w:bookmarkStart w:id="152"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9"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9"/>
    <w:bookmarkStart w:id="150" w:name="goal-requirements-28"/>
    <w:p>
      <w:pPr>
        <w:pStyle w:val="berschrift5"/>
      </w:pPr>
      <w:r>
        <w:t xml:space="preserve">Goal requirements:</w:t>
      </w:r>
    </w:p>
    <w:p>
      <w:pPr>
        <w:pStyle w:val="FirstParagraph"/>
      </w:pPr>
      <w:r>
        <w:t xml:space="preserve">As threshold.</w:t>
      </w:r>
      <w:r>
        <w:t xml:space="preserve"> </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1"/>
    <w:bookmarkEnd w:id="152"/>
    <w:bookmarkStart w:id="156" w:name="sec:prd-orbnrp"/>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prd-orbnrp</w:t>
      </w:r>
    </w:p>
    <w:p>
      <w:pPr>
        <w:pStyle w:val="Textkrper"/>
      </w:pPr>
      <w:r>
        <w:rPr>
          <w:b/>
          <w:bCs/>
        </w:rPr>
        <w:t xml:space="preserve">Usage: Only when Flattened phase per-pixel metadata (see Section </w:t>
      </w:r>
      <w:r>
        <w:rPr>
          <w:b/>
          <w:bCs/>
        </w:rPr>
        <w:t xml:space="preserve">“</w:t>
      </w:r>
      <w:hyperlink w:anchor="sec:rcm-fltphs">
        <w:r>
          <w:rPr>
            <w:rStyle w:val="Hyperlink"/>
            <w:b/>
            <w:bCs/>
          </w:rPr>
          <w:t xml:space="preserve">Radiometrically Corrected Measurements: Flattened Phase</w:t>
        </w:r>
      </w:hyperlink>
      <w:r>
        <w:rPr>
          <w:b/>
          <w:bCs/>
        </w:rPr>
        <w:t xml:space="preserve">”</w:t>
      </w:r>
      <w:r>
        <w:rPr>
          <w:b/>
          <w:bCs/>
        </w:rPr>
        <w:t xml:space="preserve">) is provided.</w:t>
      </w:r>
    </w:p>
    <w:bookmarkStart w:id="153" w:name="threshold-requirements-29"/>
    <w:p>
      <w:pPr>
        <w:pStyle w:val="berschrift5"/>
      </w:pPr>
      <w:r>
        <w:t xml:space="preserve">Threshold requirements:</w:t>
      </w:r>
    </w:p>
    <w:p>
      <w:pPr>
        <w:pStyle w:val="FirstParagraph"/>
      </w:pPr>
      <w:r>
        <w:t xml:space="preserve">Not required.</w:t>
      </w:r>
      <w:r>
        <w:t xml:space="preserve"> </w:t>
      </w:r>
    </w:p>
    <w:bookmarkEnd w:id="153"/>
    <w:bookmarkStart w:id="154"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4"/>
    <w:bookmarkStart w:id="155"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1"/>
    <w:bookmarkStart w:id="172"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Notes:</w:t>
      </w:r>
    </w:p>
    <w:p>
      <w:pPr>
        <w:pStyle w:val="Compact"/>
        <w:numPr>
          <w:ilvl w:val="0"/>
          <w:numId w:val="1057"/>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Notes:</w:t>
      </w:r>
    </w:p>
    <w:p>
      <w:pPr>
        <w:pStyle w:val="Compact"/>
        <w:numPr>
          <w:ilvl w:val="0"/>
          <w:numId w:val="1060"/>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3"/>
    <w:bookmarkStart w:id="184"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4"/>
    <w:bookmarkEnd w:id="185"/>
    <w:bookmarkStart w:id="189" w:name="sec:pxl-ppgmsg"/>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pxl-ppgmsg</w:t>
      </w:r>
    </w:p>
    <w:bookmarkStart w:id="186" w:name="threshold-requirements-37"/>
    <w:p>
      <w:pPr>
        <w:pStyle w:val="berschrift5"/>
      </w:pPr>
      <w:r>
        <w:t xml:space="preserve">Threshold requirements:</w:t>
      </w:r>
    </w:p>
    <w:p>
      <w:pPr>
        <w:pStyle w:val="FirstParagraph"/>
      </w:pPr>
      <w:r>
        <w:t xml:space="preserve">Not required.</w:t>
      </w:r>
      <w:r>
        <w:t xml:space="preserve"> </w:t>
      </w:r>
    </w:p>
    <w:bookmarkEnd w:id="186"/>
    <w:bookmarkStart w:id="187"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7"/>
    <w:bookmarkStart w:id="188"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8"/>
    <w:bookmarkEnd w:id="189"/>
    <w:bookmarkStart w:id="193" w:name="sec:pxl-ppacq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90"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goal-requirements-38"/>
    <w:p>
      <w:pPr>
        <w:pStyle w:val="berschrift5"/>
      </w:pPr>
      <w:r>
        <w:t xml:space="preserve">Goal requirements:</w:t>
      </w:r>
    </w:p>
    <w:p>
      <w:pPr>
        <w:pStyle w:val="FirstParagraph"/>
      </w:pPr>
      <w:r>
        <w:t xml:space="preserve">In case of image composites, the sources for each pixel are uniquely identified.</w:t>
      </w:r>
    </w:p>
    <w:bookmarkEnd w:id="191"/>
    <w:bookmarkStart w:id="192"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2"/>
    <w:bookmarkEnd w:id="193"/>
    <w:bookmarkStart w:id="197" w:name="sec:pxl-pp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pxl-ppdem</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5"/>
    <w:bookmarkStart w:id="196"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6"/>
    <w:bookmarkEnd w:id="197"/>
    <w:bookmarkEnd w:id="198"/>
    <w:bookmarkStart w:id="227"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1"/>
    <w:bookmarkEnd w:id="202"/>
    <w:bookmarkStart w:id="206" w:name="sec:rcm-bs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rcm-bspol</w:t>
      </w:r>
    </w:p>
    <w:bookmarkStart w:id="203"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3"/>
    <w:bookmarkStart w:id="204" w:name="goal-requirements-41"/>
    <w:p>
      <w:pPr>
        <w:pStyle w:val="berschrift5"/>
      </w:pPr>
      <w:r>
        <w:t xml:space="preserve">Goal requirements:</w:t>
      </w:r>
    </w:p>
    <w:p>
      <w:pPr>
        <w:pStyle w:val="FirstParagraph"/>
      </w:pPr>
      <w:r>
        <w:t xml:space="preserve">As threshold.</w:t>
      </w:r>
      <w:r>
        <w:t xml:space="preserve"> </w:t>
      </w:r>
    </w:p>
    <w:bookmarkEnd w:id="204"/>
    <w:bookmarkStart w:id="205"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5"/>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3"/>
    <w:bookmarkEnd w:id="214"/>
    <w:bookmarkStart w:id="218" w:name="sec:rcm-rtalgo"/>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rcm-rtalgo</w:t>
      </w:r>
    </w:p>
    <w:bookmarkStart w:id="215"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Notes:</w:t>
      </w:r>
    </w:p>
    <w:p>
      <w:pPr>
        <w:pStyle w:val="Compact"/>
        <w:numPr>
          <w:ilvl w:val="0"/>
          <w:numId w:val="1078"/>
        </w:numPr>
      </w:pPr>
      <w:r>
        <w:t xml:space="preserve">Examples of technical documentation include an Algorithm, Theoretical Basis Document, product user guide, etc.</w:t>
      </w:r>
    </w:p>
    <w:bookmarkEnd w:id="215"/>
    <w:bookmarkStart w:id="216" w:name="goal-requirements-44"/>
    <w:p>
      <w:pPr>
        <w:pStyle w:val="berschrift5"/>
      </w:pPr>
      <w:r>
        <w:t xml:space="preserve">Goal requirements:</w:t>
      </w:r>
    </w:p>
    <w:p>
      <w:pPr>
        <w:pStyle w:val="FirstParagraph"/>
      </w:pPr>
      <w:r>
        <w:t xml:space="preserve">As threshold.</w:t>
      </w:r>
      <w:r>
        <w:t xml:space="preserve"> </w:t>
      </w:r>
    </w:p>
    <w:bookmarkEnd w:id="216"/>
    <w:bookmarkStart w:id="217"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7"/>
    <w:bookmarkEnd w:id="218"/>
    <w:bookmarkStart w:id="222" w:name="sec:rcm-rma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0"/>
    <w:bookmarkStart w:id="221"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1"/>
    <w:bookmarkEnd w:id="222"/>
    <w:bookmarkStart w:id="226" w:name="sec:rcm-fltphs"/>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rcm-fltphs</w:t>
      </w:r>
    </w:p>
    <w:p>
      <w:pPr>
        <w:pStyle w:val="Textkrper"/>
      </w:pPr>
      <w:r>
        <w:rPr>
          <w:b/>
          <w:bCs/>
        </w:rPr>
        <w:t xml:space="preserve">Usage: Alternative to GSLC product for NRB and POL products</w:t>
      </w:r>
    </w:p>
    <w:bookmarkStart w:id="223" w:name="threshold-requirements-46"/>
    <w:p>
      <w:pPr>
        <w:pStyle w:val="berschrift5"/>
      </w:pPr>
      <w:r>
        <w:t xml:space="preserve">Threshold requirements:</w:t>
      </w:r>
    </w:p>
    <w:p>
      <w:pPr>
        <w:pStyle w:val="FirstParagraph"/>
      </w:pPr>
      <w:r>
        <w:t xml:space="preserve">Not required.</w:t>
      </w:r>
      <w:r>
        <w:t xml:space="preserve"> </w:t>
      </w:r>
    </w:p>
    <w:bookmarkEnd w:id="223"/>
    <w:bookmarkStart w:id="224"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4"/>
    <w:bookmarkStart w:id="225"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5"/>
    <w:bookmarkEnd w:id="226"/>
    <w:bookmarkEnd w:id="227"/>
    <w:bookmarkStart w:id="248"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1"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8" w:name="threshold-requirements-47"/>
    <w:p>
      <w:pPr>
        <w:pStyle w:val="berschrift5"/>
      </w:pPr>
      <w:r>
        <w:t xml:space="preserve">Threshold requirements:</w:t>
      </w:r>
    </w:p>
    <w:p>
      <w:pPr>
        <w:pStyle w:val="FirstParagraph"/>
      </w:pPr>
      <w:r>
        <w:t xml:space="preserve">Not required.</w:t>
      </w:r>
      <w:r>
        <w:t xml:space="preserve"> </w:t>
      </w:r>
    </w:p>
    <w:bookmarkEnd w:id="228"/>
    <w:bookmarkStart w:id="229"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Notes:</w:t>
      </w:r>
    </w:p>
    <w:p>
      <w:pPr>
        <w:pStyle w:val="Compact"/>
        <w:numPr>
          <w:ilvl w:val="0"/>
          <w:numId w:val="1084"/>
        </w:numPr>
      </w:pPr>
      <w:r>
        <w:t xml:space="preserve">Examples of technical documentation can include e.g., an Algorithm Theoretical Basis Document (ATBD) or a product user guide.</w:t>
      </w:r>
    </w:p>
    <w:bookmarkEnd w:id="229"/>
    <w:bookmarkStart w:id="230"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0"/>
    <w:bookmarkEnd w:id="231"/>
    <w:bookmarkStart w:id="235"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32"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2"/>
    <w:bookmarkStart w:id="233"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3"/>
    <w:bookmarkStart w:id="234"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4"/>
    <w:bookmarkEnd w:id="235"/>
    <w:bookmarkStart w:id="239"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6"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6"/>
    <w:bookmarkStart w:id="237"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40" w:name="threshold-requirements-50"/>
    <w:p>
      <w:pPr>
        <w:pStyle w:val="berschrift5"/>
      </w:pPr>
      <w:r>
        <w:t xml:space="preserve">Threshold requirements:</w:t>
      </w:r>
    </w:p>
    <w:p>
      <w:pPr>
        <w:pStyle w:val="FirstParagraph"/>
      </w:pPr>
      <w:r>
        <w:t xml:space="preserve">Not required.</w:t>
      </w:r>
      <w:r>
        <w:t xml:space="preserve"> </w:t>
      </w:r>
    </w:p>
    <w:bookmarkEnd w:id="240"/>
    <w:bookmarkStart w:id="241" w:name="goal-requirements-50"/>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1"/>
    <w:bookmarkStart w:id="242"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2"/>
    <w:bookmarkEnd w:id="243"/>
    <w:bookmarkStart w:id="247"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4"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4"/>
    <w:bookmarkStart w:id="245"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5"/>
    <w:bookmarkStart w:id="246"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6"/>
    <w:bookmarkEnd w:id="247"/>
    <w:bookmarkEnd w:id="248"/>
    <w:bookmarkEnd w:id="249"/>
    <w:bookmarkStart w:id="256" w:name="summary-self-assessment-table"/>
    <w:p>
      <w:pPr>
        <w:pStyle w:val="berschrift2"/>
      </w:pPr>
      <w:r>
        <w:t xml:space="preserve">Summary Self-Assessment Table</w:t>
      </w:r>
    </w:p>
    <w:bookmarkStart w:id="250"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0"/>
    <w:bookmarkStart w:id="251"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1"/>
    <w:bookmarkStart w:id="252"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prd-orbnrp</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2"/>
    <w:bookmarkStart w:id="25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pxl-ppgmsg</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3"/>
    <w:bookmarkStart w:id="254"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rcm-rtalgo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rcm-fltphs</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4"/>
    <w:bookmarkStart w:id="25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5"/>
    <w:bookmarkEnd w:id="256"/>
    <w:bookmarkStart w:id="26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7"/>
    <w:bookmarkStart w:id="25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9"/>
    <w:bookmarkStart w:id="26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0"/>
    <w:bookmarkEnd w:id="261"/>
    <w:bookmarkStart w:id="289" w:name="references"/>
    <w:p>
      <w:pPr>
        <w:pStyle w:val="berschrift2"/>
      </w:pPr>
      <w:r>
        <w:t xml:space="preserve">References</w:t>
      </w:r>
    </w:p>
    <w:bookmarkStart w:id="288" w:name="refs"/>
    <w:bookmarkStart w:id="263"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2">
        <w:r>
          <w:rPr>
            <w:rStyle w:val="Hyperlink"/>
          </w:rPr>
          <w:t xml:space="preserve">https://doi.org/10.1109/36.499784</w:t>
        </w:r>
      </w:hyperlink>
      <w:r>
        <w:t xml:space="preserve">.</w:t>
      </w:r>
    </w:p>
    <w:bookmarkEnd w:id="263"/>
    <w:bookmarkStart w:id="265"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4">
        <w:r>
          <w:rPr>
            <w:rStyle w:val="Hyperlink"/>
          </w:rPr>
          <w:t xml:space="preserve">https://doi.org/10.1109/36.485127</w:t>
        </w:r>
      </w:hyperlink>
      <w:r>
        <w:t xml:space="preserve">.</w:t>
      </w:r>
    </w:p>
    <w:bookmarkEnd w:id="265"/>
    <w:bookmarkStart w:id="267"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6">
        <w:r>
          <w:rPr>
            <w:rStyle w:val="Hyperlink"/>
          </w:rPr>
          <w:t xml:space="preserve">https://doi.org/10.1109/36.673687</w:t>
        </w:r>
      </w:hyperlink>
      <w:r>
        <w:t xml:space="preserve">.</w:t>
      </w:r>
    </w:p>
    <w:bookmarkEnd w:id="267"/>
    <w:bookmarkStart w:id="269"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8">
        <w:r>
          <w:rPr>
            <w:rStyle w:val="Hyperlink"/>
          </w:rPr>
          <w:t xml:space="preserve">https://doi.org/10.1080/2150704X.2012.687470</w:t>
        </w:r>
      </w:hyperlink>
      <w:r>
        <w:t xml:space="preserve">.</w:t>
      </w:r>
    </w:p>
    <w:bookmarkEnd w:id="269"/>
    <w:bookmarkStart w:id="27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0"/>
    <w:bookmarkStart w:id="271"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1"/>
    <w:bookmarkStart w:id="273"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2">
        <w:r>
          <w:rPr>
            <w:rStyle w:val="Hyperlink"/>
          </w:rPr>
          <w:t xml:space="preserve">https://doi.org/10.1109/TGRS.2008.2002881</w:t>
        </w:r>
      </w:hyperlink>
      <w:r>
        <w:t xml:space="preserve">.</w:t>
      </w:r>
    </w:p>
    <w:bookmarkEnd w:id="273"/>
    <w:bookmarkStart w:id="275"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4">
        <w:r>
          <w:rPr>
            <w:rStyle w:val="Hyperlink"/>
          </w:rPr>
          <w:t xml:space="preserve">https://doi.org/10.1029/2011JE003986</w:t>
        </w:r>
      </w:hyperlink>
      <w:r>
        <w:t xml:space="preserve">.</w:t>
      </w:r>
    </w:p>
    <w:bookmarkEnd w:id="275"/>
    <w:bookmarkStart w:id="277"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6">
        <w:r>
          <w:rPr>
            <w:rStyle w:val="Hyperlink"/>
          </w:rPr>
          <w:t xml:space="preserve">https://doi.org/10.1109/TGRS.2022.3147472</w:t>
        </w:r>
      </w:hyperlink>
      <w:r>
        <w:t xml:space="preserve">.</w:t>
      </w:r>
    </w:p>
    <w:bookmarkEnd w:id="277"/>
    <w:bookmarkStart w:id="279"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8">
        <w:r>
          <w:rPr>
            <w:rStyle w:val="Hyperlink"/>
          </w:rPr>
          <w:t xml:space="preserve">https://doi.org/10.1109/TGRS.2011.2120616</w:t>
        </w:r>
      </w:hyperlink>
      <w:r>
        <w:t xml:space="preserve">.</w:t>
      </w:r>
    </w:p>
    <w:bookmarkEnd w:id="279"/>
    <w:bookmarkStart w:id="281"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0">
        <w:r>
          <w:rPr>
            <w:rStyle w:val="Hyperlink"/>
          </w:rPr>
          <w:t xml:space="preserve">https://doi.org/10.1109/TGRS.2012.2233206</w:t>
        </w:r>
      </w:hyperlink>
      <w:r>
        <w:t xml:space="preserve">.</w:t>
      </w:r>
    </w:p>
    <w:bookmarkEnd w:id="281"/>
    <w:bookmarkStart w:id="283"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2">
        <w:r>
          <w:rPr>
            <w:rStyle w:val="Hyperlink"/>
          </w:rPr>
          <w:t xml:space="preserve">https://doi.org/10.1109/TGRS.2010.2099124</w:t>
        </w:r>
      </w:hyperlink>
      <w:r>
        <w:t xml:space="preserve">.</w:t>
      </w:r>
    </w:p>
    <w:bookmarkEnd w:id="283"/>
    <w:bookmarkStart w:id="28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4">
        <w:r>
          <w:rPr>
            <w:rStyle w:val="Hyperlink"/>
          </w:rPr>
          <w:t xml:space="preserve">https://doi.org/10.1109/LGRS.2017.2753580</w:t>
        </w:r>
      </w:hyperlink>
      <w:r>
        <w:t xml:space="preserve">.</w:t>
      </w:r>
    </w:p>
    <w:bookmarkEnd w:id="285"/>
    <w:bookmarkStart w:id="28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6">
        <w:r>
          <w:rPr>
            <w:rStyle w:val="Hyperlink"/>
          </w:rPr>
          <w:t xml:space="preserve">https://doi.org/10.1109/TGRS.2010.2051333</w:t>
        </w:r>
      </w:hyperlink>
      <w:r>
        <w:t xml:space="preserve">.</w:t>
      </w:r>
    </w:p>
    <w:bookmarkEnd w:id="287"/>
    <w:bookmarkEnd w:id="288"/>
    <w:p>
      <w:r>
        <w:br w:type="page"/>
      </w:r>
    </w:p>
    <w:bookmarkEnd w:id="289"/>
    <w:bookmarkStart w:id="325" w:name="annexes"/>
    <w:p>
      <w:pPr>
        <w:pStyle w:val="berschrift2"/>
      </w:pPr>
      <w:r>
        <w:t xml:space="preserve">Annexes</w:t>
      </w:r>
    </w:p>
    <w:bookmarkStart w:id="29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0"/>
    <w:bookmarkEnd w:id="291"/>
    <w:bookmarkStart w:id="30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2"/>
    </w:p>
    <w:p>
      <w:pPr>
        <w:pStyle w:val="FirstParagraph"/>
      </w:pPr>
      <w:r>
        <w:t xml:space="preserve">Where</w:t>
      </w:r>
    </w:p>
    <w:p>
      <w:pPr>
        <w:pStyle w:val="Textkrper"/>
      </w:pPr>
      <w:bookmarkStart w:id="29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5"/>
    </w:p>
    <w:p>
      <w:pPr>
        <w:pStyle w:val="FirstParagraph"/>
      </w:pPr>
      <w:bookmarkStart w:id="29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6"/>
    </w:p>
    <w:p>
      <w:pPr>
        <w:pStyle w:val="FirstParagraph"/>
      </w:pPr>
      <w:r>
        <w:t xml:space="preserve">The differential phase is</w:t>
      </w:r>
    </w:p>
    <w:p>
      <w:pPr>
        <w:pStyle w:val="Textkrper"/>
      </w:pPr>
      <w:bookmarkStart w:id="29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8"/>
    </w:p>
    <w:p>
      <w:pPr>
        <w:pStyle w:val="FirstParagraph"/>
      </w:pPr>
      <w:bookmarkStart w:id="29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9"/>
    </w:p>
    <w:p>
      <w:pPr>
        <w:pStyle w:val="FirstParagraph"/>
      </w:pPr>
      <w:bookmarkStart w:id="30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2"/>
    </w:p>
    <w:bookmarkEnd w:id="303"/>
    <w:bookmarkStart w:id="31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5"/>
    </w:p>
    <w:p>
      <w:pPr>
        <w:pStyle w:val="FirstParagraph"/>
      </w:pPr>
      <w:bookmarkStart w:id="30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6"/>
    </w:p>
    <w:p>
      <w:pPr>
        <w:pStyle w:val="FirstParagraph"/>
      </w:pPr>
      <w:bookmarkStart w:id="30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9"/>
    </w:p>
    <w:bookmarkEnd w:id="310"/>
    <w:bookmarkStart w:id="315"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2"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1"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1"/>
    <w:bookmarkEnd w:id="312"/>
    <w:bookmarkStart w:id="314"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3"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3"/>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4"/>
    <w:bookmarkEnd w:id="315"/>
    <w:bookmarkStart w:id="324"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9"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7" name="Picture"/>
            <a:graphic>
              <a:graphicData uri="http://schemas.openxmlformats.org/drawingml/2006/picture">
                <pic:pic>
                  <pic:nvPicPr>
                    <pic:cNvPr descr="assets/sar-pol-examples/pol-decomposition.jpeg" id="318" name="Picture"/>
                    <pic:cNvPicPr>
                      <a:picLocks noChangeArrowheads="1" noChangeAspect="1"/>
                    </pic:cNvPicPr>
                  </pic:nvPicPr>
                  <pic:blipFill>
                    <a:blip r:embed="rId316"/>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9"/>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3"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1" name="Picture"/>
            <a:graphic>
              <a:graphicData uri="http://schemas.openxmlformats.org/drawingml/2006/picture">
                <pic:pic>
                  <pic:nvPicPr>
                    <pic:cNvPr descr="assets/sar-pol-examples/m-chi-decomposition.jpeg" id="322" name="Picture"/>
                    <pic:cNvPicPr>
                      <a:picLocks noChangeArrowheads="1" noChangeAspect="1"/>
                    </pic:cNvPicPr>
                  </pic:nvPicPr>
                  <pic:blipFill>
                    <a:blip r:embed="rId320"/>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5">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0" Target="media/rId320.jpg" /><Relationship Type="http://schemas.openxmlformats.org/officeDocument/2006/relationships/image" Id="rId316" Target="media/rId316.jpg" /><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8" Target="https://ceos.org/ard/files/CEOS_ARD_Governance_Framework_18-October-2021.pdf" TargetMode="External" /><Relationship Type="http://schemas.openxmlformats.org/officeDocument/2006/relationships/hyperlink" Id="rId63" Target="https://ceos.org/mim-database/" TargetMode="External" /><Relationship Type="http://schemas.openxmlformats.org/officeDocument/2006/relationships/hyperlink" Id="rId274" Target="https://doi.org/10.1029/2011JE003986" TargetMode="External" /><Relationship Type="http://schemas.openxmlformats.org/officeDocument/2006/relationships/hyperlink" Id="rId268" Target="https://doi.org/10.1080/2150704X.2012.687470" TargetMode="External" /><Relationship Type="http://schemas.openxmlformats.org/officeDocument/2006/relationships/hyperlink" Id="rId264" Target="https://doi.org/10.1109/36.485127" TargetMode="External" /><Relationship Type="http://schemas.openxmlformats.org/officeDocument/2006/relationships/hyperlink" Id="rId262" Target="https://doi.org/10.1109/36.499784" TargetMode="External" /><Relationship Type="http://schemas.openxmlformats.org/officeDocument/2006/relationships/hyperlink" Id="rId266" Target="https://doi.org/10.1109/36.673687" TargetMode="External" /><Relationship Type="http://schemas.openxmlformats.org/officeDocument/2006/relationships/hyperlink" Id="rId284" Target="https://doi.org/10.1109/LGRS.2017.2753580" TargetMode="External" /><Relationship Type="http://schemas.openxmlformats.org/officeDocument/2006/relationships/hyperlink" Id="rId272" Target="https://doi.org/10.1109/TGRS.2008.2002881" TargetMode="External" /><Relationship Type="http://schemas.openxmlformats.org/officeDocument/2006/relationships/hyperlink" Id="rId286" Target="https://doi.org/10.1109/TGRS.2010.2051333" TargetMode="External" /><Relationship Type="http://schemas.openxmlformats.org/officeDocument/2006/relationships/hyperlink" Id="rId282" Target="https://doi.org/10.1109/TGRS.2010.2099124" TargetMode="External" /><Relationship Type="http://schemas.openxmlformats.org/officeDocument/2006/relationships/hyperlink" Id="rId278" Target="https://doi.org/10.1109/TGRS.2011.2120616" TargetMode="External" /><Relationship Type="http://schemas.openxmlformats.org/officeDocument/2006/relationships/hyperlink" Id="rId280" Target="https://doi.org/10.1109/TGRS.2012.2233206" TargetMode="External" /><Relationship Type="http://schemas.openxmlformats.org/officeDocument/2006/relationships/hyperlink" Id="rId276"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2026-03-29T17:22:40Z</dcterms:created>
  <dcterms:modified xsi:type="dcterms:W3CDTF">2026-03-29T17:22:40Z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