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00" w:name="Xf322761420ba12cd249c8be342647b2908c150a"/>
    <w:p>
      <w:pPr>
        <w:pStyle w:val="berschrift1"/>
      </w:pPr>
      <w:r>
        <w:t xml:space="preserve">CEOS-ARD - Synthetic Aperture Radar - Normalised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Normalised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Normalised Radar Backscatter (NRB)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Normalised Radar Backscatter (NRB) specification describes products that have been subject to Radiometric Terrain Correction (RTC) and are provided in the Gamma-Nought (</w:t>
      </w:r>
      <m:oMath>
        <m:sSubSup>
          <m:e>
            <m:r>
              <m:t>γ</m:t>
            </m:r>
          </m:e>
          <m:sub>
            <m:r>
              <m:t>T</m:t>
            </m:r>
          </m:sub>
          <m:sup>
            <m:r>
              <m:t>0</m:t>
            </m:r>
          </m:sup>
        </m:sSubSup>
      </m:oMath>
      <w:r>
        <w:t xml:space="preserve">) backscatter convention</w:t>
      </w:r>
      <w:r>
        <w:t xml:space="preserve"> </w:t>
      </w:r>
      <w:r>
        <w:t xml:space="preserve">(</w:t>
      </w:r>
      <w:hyperlink w:anchor="ref-small2011">
        <w:r>
          <w:rPr>
            <w:rStyle w:val="Hyperlink"/>
          </w:rPr>
          <w:t xml:space="preserve">Small 2011</w:t>
        </w:r>
      </w:hyperlink>
      <w:r>
        <w:t xml:space="preserve">)</w:t>
      </w:r>
      <w:r>
        <w:t xml:space="preserve">, which mitigates the variations from diverse observation geometries and is recommended for most land applications.</w:t>
      </w:r>
      <w:r>
        <w:t xml:space="preserve"> </w:t>
      </w:r>
      <w:r>
        <w:t xml:space="preserve">An additional metadata layer can be optionally provided for conversion of</w:t>
      </w:r>
      <w:r>
        <w:t xml:space="preserve"> </w:t>
      </w:r>
      <m:oMath>
        <m:sSubSup>
          <m:e>
            <m:r>
              <m:t>γ</m:t>
            </m:r>
          </m:e>
          <m:sub>
            <m:r>
              <m:t>T</m:t>
            </m:r>
          </m:sub>
          <m:sup>
            <m:r>
              <m:t>0</m:t>
            </m:r>
          </m:sup>
        </m:sSubSup>
      </m:oMath>
      <w:r>
        <w:t xml:space="preserve"> </w:t>
      </w:r>
      <w:r>
        <w:t xml:space="preserve">to Sigma-Nought (</w:t>
      </w:r>
      <m:oMath>
        <m:sSubSup>
          <m:e>
            <m:r>
              <m:t>σ</m:t>
            </m:r>
          </m:e>
          <m:sub>
            <m:r>
              <m:t>T</m:t>
            </m:r>
          </m:sub>
          <m:sup>
            <m:r>
              <m:t>0</m:t>
            </m:r>
          </m:sup>
        </m:sSubSup>
      </m:oMath>
      <w:r>
        <w:t xml:space="preserve">) backscatter layer for compatibility with legacy software or numerical models.</w:t>
      </w:r>
      <w:r>
        <w:t xml:space="preserve"> </w:t>
      </w:r>
      <w:r>
        <w:t xml:space="preserve">As the NRB product contains backscatter values only, it cannot be directly used for SAR polarimetry or interferometric applications that require relative polarization phase or local phase estimates respectively.</w:t>
      </w:r>
      <w:r>
        <w:t xml:space="preserve"> </w:t>
      </w:r>
      <w:r>
        <w:t xml:space="preserve">However, as an option, a</w:t>
      </w:r>
      <w:r>
        <w:t xml:space="preserve"> </w:t>
      </w:r>
      <w:r>
        <w:t xml:space="preserve">“flattened”</w:t>
      </w:r>
      <w:r>
        <w:t xml:space="preserve"> </w:t>
      </w:r>
      <w:r>
        <w:t xml:space="preserve">phase data layer can be provided with an NRB product for enabling InSAR analysis.</w:t>
      </w:r>
      <w:r>
        <w:t xml:space="preserve"> </w:t>
      </w:r>
      <w:r>
        <w:t xml:space="preserve">The flattened phase is the interferometric phase, with respect to a reference orbit and to a DEM, for which the topographic phase contribution is removed.</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InSAR</w:t>
      </w:r>
    </w:p>
    <w:p>
      <w:pPr>
        <w:pStyle w:val="Definition"/>
      </w:pPr>
      <w:r>
        <w:t xml:space="preserve">Interferometric Radar</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8"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5"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7"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0"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7" w:name="threshold-requirements-30"/>
    <w:p>
      <w:pPr>
        <w:pStyle w:val="berschrift5"/>
      </w:pPr>
      <w:r>
        <w:t xml:space="preserve">Threshold requirements:</w:t>
      </w:r>
    </w:p>
    <w:p>
      <w:pPr>
        <w:pStyle w:val="FirstParagraph"/>
      </w:pPr>
      <w:r>
        <w:t xml:space="preserve">Not required.</w:t>
      </w:r>
      <w:r>
        <w:t xml:space="preserve"> </w:t>
      </w:r>
    </w:p>
    <w:bookmarkEnd w:id="157"/>
    <w:bookmarkStart w:id="158" w:name="goal-requirements-30"/>
    <w:p>
      <w:pPr>
        <w:pStyle w:val="berschrift5"/>
      </w:pPr>
      <w:r>
        <w:t xml:space="preserve">Goal requirements:</w:t>
      </w:r>
    </w:p>
    <w:p>
      <w:pPr>
        <w:pStyle w:val="FirstParagraph"/>
      </w:pPr>
      <w:r>
        <w:t xml:space="preserve">All files are provided using cloud-optimized file formats.</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1"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1"/>
    <w:bookmarkStart w:id="162"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2"/>
    <w:bookmarkStart w:id="163"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5"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5"/>
    <w:bookmarkStart w:id="166"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69" w:name="threshold-requirements-33"/>
    <w:p>
      <w:pPr>
        <w:pStyle w:val="berschrift5"/>
      </w:pPr>
      <w:r>
        <w:t xml:space="preserve">Threshold requirements:</w:t>
      </w:r>
    </w:p>
    <w:p>
      <w:pPr>
        <w:pStyle w:val="FirstParagraph"/>
      </w:pPr>
      <w:r>
        <w:t xml:space="preserve">Not required.</w:t>
      </w:r>
      <w:r>
        <w:t xml:space="preserve"> </w:t>
      </w:r>
    </w:p>
    <w:bookmarkEnd w:id="169"/>
    <w:bookmarkStart w:id="170"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0"/>
    <w:bookmarkStart w:id="171"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1"/>
    <w:bookmarkEnd w:id="172"/>
    <w:bookmarkStart w:id="176"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3"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3"/>
    <w:bookmarkStart w:id="174" w:name="goal-requirements-34"/>
    <w:p>
      <w:pPr>
        <w:pStyle w:val="berschrift5"/>
      </w:pPr>
      <w:r>
        <w:t xml:space="preserve">Goal requirements:</w:t>
      </w:r>
    </w:p>
    <w:p>
      <w:pPr>
        <w:pStyle w:val="FirstParagraph"/>
      </w:pPr>
      <w:r>
        <w:t xml:space="preserve">As threshold.</w:t>
      </w:r>
      <w:r>
        <w:t xml:space="preserve"> </w:t>
      </w:r>
    </w:p>
    <w:bookmarkEnd w:id="174"/>
    <w:bookmarkStart w:id="175"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5"/>
    <w:bookmarkEnd w:id="176"/>
    <w:bookmarkStart w:id="180"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9"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89"/>
    <w:bookmarkStart w:id="190" w:name="goal-requirements-38"/>
    <w:p>
      <w:pPr>
        <w:pStyle w:val="berschrift5"/>
      </w:pPr>
      <w:r>
        <w:t xml:space="preserve">Goal requirements:</w:t>
      </w:r>
    </w:p>
    <w:p>
      <w:pPr>
        <w:pStyle w:val="FirstParagraph"/>
      </w:pPr>
      <w:r>
        <w:t xml:space="preserve">In case of image composites, the sources for each pixel are uniquely identified.</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1"/>
    <w:bookmarkEnd w:id="192"/>
    <w:bookmarkStart w:id="196"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3" w:name="threshold-requirements-39"/>
    <w:p>
      <w:pPr>
        <w:pStyle w:val="berschrift5"/>
      </w:pPr>
      <w:r>
        <w:t xml:space="preserve">Threshold requirements:</w:t>
      </w:r>
    </w:p>
    <w:p>
      <w:pPr>
        <w:pStyle w:val="FirstParagraph"/>
      </w:pPr>
      <w:r>
        <w:t xml:space="preserve">Not required.</w:t>
      </w:r>
      <w:r>
        <w:t xml:space="preserve"> </w:t>
      </w:r>
    </w:p>
    <w:bookmarkEnd w:id="193"/>
    <w:bookmarkStart w:id="194"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4"/>
    <w:bookmarkStart w:id="195"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5"/>
    <w:bookmarkEnd w:id="196"/>
    <w:bookmarkEnd w:id="197"/>
    <w:bookmarkStart w:id="226"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1"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8" w:name="threshold-requirements-40"/>
    <w:p>
      <w:pPr>
        <w:pStyle w:val="berschrift5"/>
      </w:pPr>
      <w:r>
        <w:t xml:space="preserve">Threshold requirements:</w:t>
      </w:r>
    </w:p>
    <w:p>
      <w:pPr>
        <w:pStyle w:val="FirstParagraph"/>
      </w:pPr>
      <w:r>
        <w:t xml:space="preserve">Not required.</w:t>
      </w:r>
      <w:r>
        <w:t xml:space="preserve"> </w:t>
      </w:r>
    </w:p>
    <w:bookmarkEnd w:id="198"/>
    <w:bookmarkStart w:id="199" w:name="goal-requirements-40"/>
    <w:p>
      <w:pPr>
        <w:pStyle w:val="berschrift5"/>
      </w:pPr>
      <w:r>
        <w:t xml:space="preserve">Goal requirements:</w:t>
      </w:r>
    </w:p>
    <w:p>
      <w:pPr>
        <w:pStyle w:val="FirstParagraph"/>
      </w:pPr>
      <w:r>
        <w:t xml:space="preserve">All files are provided using cloud-optimized file formats.</w:t>
      </w:r>
    </w:p>
    <w:bookmarkEnd w:id="199"/>
    <w:bookmarkStart w:id="200"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0"/>
    <w:bookmarkEnd w:id="201"/>
    <w:bookmarkStart w:id="205" w:name="sec:rcm-bsnrb"/>
    <w:p>
      <w:pPr>
        <w:pStyle w:val="berschrift4"/>
      </w:pPr>
      <w:r>
        <w:rPr>
          <w:rStyle w:val="VerbatimChar"/>
        </w:rPr>
        <w:t xml:space="preserve">5.2.</w:t>
      </w:r>
      <w:r>
        <w:t xml:space="preserve"> </w:t>
      </w:r>
      <w:r>
        <w:t xml:space="preserve">Backscatter Measurements (NRB)</w:t>
      </w:r>
    </w:p>
    <w:p>
      <w:pPr>
        <w:pStyle w:val="FirstParagraph"/>
      </w:pPr>
      <w:r>
        <w:t xml:space="preserve">Identifier:</w:t>
      </w:r>
      <w:r>
        <w:t xml:space="preserve"> </w:t>
      </w:r>
      <w:r>
        <w:rPr>
          <w:rStyle w:val="VerbatimChar"/>
        </w:rPr>
        <w:t xml:space="preserve">rcm-bsnrb</w:t>
      </w:r>
    </w:p>
    <w:bookmarkStart w:id="202" w:name="threshold-requirements-41"/>
    <w:p>
      <w:pPr>
        <w:pStyle w:val="berschrift5"/>
      </w:pPr>
      <w:r>
        <w:t xml:space="preserve">Threshold requirements:</w:t>
      </w:r>
    </w:p>
    <w:p>
      <w:pPr>
        <w:pStyle w:val="FirstParagraph"/>
      </w:pP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is provided for each polarization.</w:t>
      </w:r>
    </w:p>
    <w:p>
      <w:pPr>
        <w:pStyle w:val="Textkrper"/>
      </w:pPr>
      <w:r>
        <w:t xml:space="preserve">File format specifications/contents provided in metadata:</w:t>
      </w:r>
    </w:p>
    <w:p>
      <w:pPr>
        <w:pStyle w:val="Compact"/>
        <w:numPr>
          <w:ilvl w:val="0"/>
          <w:numId w:val="1071"/>
        </w:numPr>
      </w:pPr>
      <w:r>
        <w:t xml:space="preserve">Measurement Type (Gamma-Nought)</w:t>
      </w:r>
    </w:p>
    <w:p>
      <w:pPr>
        <w:pStyle w:val="Compact"/>
        <w:numPr>
          <w:ilvl w:val="0"/>
          <w:numId w:val="1071"/>
        </w:numPr>
      </w:pPr>
      <w:r>
        <w:t xml:space="preserve">Backscatter Expression Convention (linear amplitude, linear power*)</w:t>
      </w:r>
    </w:p>
    <w:p>
      <w:pPr>
        <w:pStyle w:val="Compact"/>
        <w:numPr>
          <w:ilvl w:val="0"/>
          <w:numId w:val="1071"/>
        </w:numPr>
      </w:pPr>
      <w:r>
        <w:t xml:space="preserve">Polarization (HH, HV, VV, VH)</w:t>
      </w:r>
    </w:p>
    <w:p>
      <w:pPr>
        <w:pStyle w:val="Compact"/>
        <w:numPr>
          <w:ilvl w:val="0"/>
          <w:numId w:val="1071"/>
        </w:numPr>
      </w:pPr>
      <w:r>
        <w:t xml:space="preserve">Data Format (GeoTIFF, HDF5, NetCDF, …)</w:t>
      </w:r>
    </w:p>
    <w:p>
      <w:pPr>
        <w:pStyle w:val="Compact"/>
        <w:numPr>
          <w:ilvl w:val="0"/>
          <w:numId w:val="1071"/>
        </w:numPr>
      </w:pPr>
      <w:r>
        <w:t xml:space="preserve">Data Type (Int, Float, …)</w:t>
      </w:r>
    </w:p>
    <w:p>
      <w:pPr>
        <w:pStyle w:val="Compact"/>
        <w:numPr>
          <w:ilvl w:val="0"/>
          <w:numId w:val="1071"/>
        </w:numPr>
      </w:pPr>
      <w:r>
        <w:t xml:space="preserve">Bits per Sample</w:t>
      </w:r>
    </w:p>
    <w:p>
      <w:pPr>
        <w:pStyle w:val="Compact"/>
        <w:numPr>
          <w:ilvl w:val="0"/>
          <w:numId w:val="1071"/>
        </w:numPr>
      </w:pPr>
      <w:r>
        <w:t xml:space="preserve">Byte Order</w:t>
      </w:r>
    </w:p>
    <w:p>
      <w:pPr>
        <w:pStyle w:val="FirstParagraph"/>
      </w:pPr>
      <w:r>
        <w:t xml:space="preserve">Notes:</w:t>
      </w:r>
    </w:p>
    <w:p>
      <w:pPr>
        <w:pStyle w:val="Compact"/>
        <w:numPr>
          <w:ilvl w:val="0"/>
          <w:numId w:val="1072"/>
        </w:numPr>
      </w:pPr>
      <w:r>
        <w:t xml:space="preserve">Transformation to the logarithm decibel scale is not required or desired as this step can be easily completed by the user if necessary.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4"/>
    <w:bookmarkEnd w:id="205"/>
    <w:bookmarkStart w:id="209"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6"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6"/>
    <w:bookmarkStart w:id="207" w:name="goal-requirements-42"/>
    <w:p>
      <w:pPr>
        <w:pStyle w:val="berschrift5"/>
      </w:pPr>
      <w:r>
        <w:t xml:space="preserve">Goal requirements:</w:t>
      </w:r>
    </w:p>
    <w:p>
      <w:pPr>
        <w:pStyle w:val="FirstParagraph"/>
      </w:pPr>
      <w:r>
        <w:t xml:space="preserve">As threshold, but use of float32.</w:t>
      </w:r>
    </w:p>
    <w:bookmarkEnd w:id="207"/>
    <w:bookmarkStart w:id="208"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8"/>
    <w:bookmarkEnd w:id="209"/>
    <w:bookmarkStart w:id="213"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0"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0"/>
    <w:bookmarkStart w:id="211" w:name="goal-requirements-43"/>
    <w:p>
      <w:pPr>
        <w:pStyle w:val="berschrift5"/>
      </w:pPr>
      <w:r>
        <w:t xml:space="preserve">Goal requirements:</w:t>
      </w:r>
    </w:p>
    <w:p>
      <w:pPr>
        <w:pStyle w:val="FirstParagraph"/>
      </w:pPr>
      <w:r>
        <w:t xml:space="preserve">As threshold.</w:t>
      </w:r>
      <w:r>
        <w:t xml:space="preserve"> </w:t>
      </w:r>
    </w:p>
    <w:bookmarkEnd w:id="211"/>
    <w:bookmarkStart w:id="212"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2"/>
    <w:bookmarkEnd w:id="213"/>
    <w:bookmarkStart w:id="217"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4"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4"/>
    <w:bookmarkStart w:id="215" w:name="goal-requirements-44"/>
    <w:p>
      <w:pPr>
        <w:pStyle w:val="berschrift5"/>
      </w:pPr>
      <w:r>
        <w:t xml:space="preserve">Goal requirements:</w:t>
      </w:r>
    </w:p>
    <w:p>
      <w:pPr>
        <w:pStyle w:val="FirstParagraph"/>
      </w:pPr>
      <w:r>
        <w:t xml:space="preserve">As threshold.</w:t>
      </w:r>
      <w:r>
        <w:t xml:space="preserve"> </w:t>
      </w:r>
    </w:p>
    <w:bookmarkEnd w:id="215"/>
    <w:bookmarkStart w:id="216"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6"/>
    <w:bookmarkEnd w:id="217"/>
    <w:bookmarkStart w:id="221"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8" w:name="threshold-requirements-45"/>
    <w:p>
      <w:pPr>
        <w:pStyle w:val="berschrift5"/>
      </w:pPr>
      <w:r>
        <w:t xml:space="preserve">Threshold requirements:</w:t>
      </w:r>
    </w:p>
    <w:p>
      <w:pPr>
        <w:pStyle w:val="FirstParagraph"/>
      </w:pPr>
      <w:r>
        <w:t xml:space="preserve">Not required.</w:t>
      </w:r>
      <w:r>
        <w:t xml:space="preserve"> </w:t>
      </w:r>
    </w:p>
    <w:bookmarkEnd w:id="218"/>
    <w:bookmarkStart w:id="219"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9"/>
    <w:bookmarkStart w:id="220"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0"/>
    <w:bookmarkEnd w:id="221"/>
    <w:bookmarkStart w:id="225"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2" w:name="threshold-requirements-46"/>
    <w:p>
      <w:pPr>
        <w:pStyle w:val="berschrift5"/>
      </w:pPr>
      <w:r>
        <w:t xml:space="preserve">Threshold requirements:</w:t>
      </w:r>
    </w:p>
    <w:p>
      <w:pPr>
        <w:pStyle w:val="FirstParagraph"/>
      </w:pPr>
      <w:r>
        <w:t xml:space="preserve">Not required.</w:t>
      </w:r>
      <w:r>
        <w:t xml:space="preserve"> </w:t>
      </w:r>
    </w:p>
    <w:bookmarkEnd w:id="222"/>
    <w:bookmarkStart w:id="223"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3"/>
    <w:bookmarkStart w:id="224"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4"/>
    <w:bookmarkEnd w:id="225"/>
    <w:bookmarkEnd w:id="226"/>
    <w:bookmarkStart w:id="247"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0"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8"/>
    <w:bookmarkStart w:id="229"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29"/>
    <w:bookmarkEnd w:id="230"/>
    <w:bookmarkStart w:id="234"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1"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1"/>
    <w:bookmarkStart w:id="232"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2"/>
    <w:bookmarkStart w:id="233"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3"/>
    <w:bookmarkEnd w:id="234"/>
    <w:bookmarkStart w:id="238"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5"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5"/>
    <w:bookmarkStart w:id="236"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6"/>
    <w:bookmarkStart w:id="237"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7"/>
    <w:bookmarkEnd w:id="238"/>
    <w:bookmarkStart w:id="242"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9" w:name="threshold-requirements-50"/>
    <w:p>
      <w:pPr>
        <w:pStyle w:val="berschrift5"/>
      </w:pPr>
      <w:r>
        <w:t xml:space="preserve">Threshold requirements:</w:t>
      </w:r>
    </w:p>
    <w:p>
      <w:pPr>
        <w:pStyle w:val="FirstParagraph"/>
      </w:pPr>
      <w:r>
        <w:t xml:space="preserve">Not required.</w:t>
      </w:r>
      <w:r>
        <w:t xml:space="preserve"> </w:t>
      </w:r>
    </w:p>
    <w:bookmarkEnd w:id="239"/>
    <w:bookmarkStart w:id="240"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0"/>
    <w:bookmarkStart w:id="241"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1"/>
    <w:bookmarkEnd w:id="242"/>
    <w:bookmarkStart w:id="246"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3"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3"/>
    <w:bookmarkStart w:id="244"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4"/>
    <w:bookmarkStart w:id="245"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5"/>
    <w:bookmarkEnd w:id="246"/>
    <w:bookmarkEnd w:id="247"/>
    <w:bookmarkEnd w:id="248"/>
    <w:bookmarkStart w:id="255" w:name="summary-self-assessment-table"/>
    <w:p>
      <w:pPr>
        <w:pStyle w:val="berschrift2"/>
      </w:pPr>
      <w:r>
        <w:t xml:space="preserve">Summary Self-Assessment Table</w:t>
      </w:r>
    </w:p>
    <w:bookmarkStart w:id="249"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9"/>
    <w:bookmarkStart w:id="250"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0"/>
    <w:bookmarkStart w:id="251"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1"/>
    <w:bookmarkStart w:id="252"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2"/>
    <w:bookmarkStart w:id="253"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rcm-bsnrb</w:t>
            </w:r>
          </w:p>
        </w:tc>
        <w:tc>
          <w:tcPr/>
          <w:p>
            <w:pPr>
              <w:pStyle w:val="Compact"/>
            </w:pPr>
            <w:r>
              <w:t xml:space="preserve">Backscatter Measurements (NRB)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3"/>
    <w:bookmarkStart w:id="254"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4"/>
    <w:bookmarkEnd w:id="255"/>
    <w:bookmarkStart w:id="260"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6"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6"/>
    <w:bookmarkStart w:id="258"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7">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8"/>
    <w:bookmarkStart w:id="259"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9"/>
    <w:bookmarkEnd w:id="260"/>
    <w:bookmarkStart w:id="277" w:name="references"/>
    <w:p>
      <w:pPr>
        <w:pStyle w:val="berschrift2"/>
      </w:pPr>
      <w:r>
        <w:t xml:space="preserve">References</w:t>
      </w:r>
    </w:p>
    <w:bookmarkStart w:id="276" w:name="refs"/>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2">
        <w:r>
          <w:rPr>
            <w:rStyle w:val="Hyperlink"/>
          </w:rPr>
          <w:t xml:space="preserve">https://doi.org/10.1109/TGRS.2008.2002881</w:t>
        </w:r>
      </w:hyperlink>
      <w:r>
        <w:t xml:space="preserve">.</w:t>
      </w:r>
    </w:p>
    <w:bookmarkEnd w:id="263"/>
    <w:bookmarkStart w:id="26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4">
        <w:r>
          <w:rPr>
            <w:rStyle w:val="Hyperlink"/>
          </w:rPr>
          <w:t xml:space="preserve">https://doi.org/10.1029/2011JE003986</w:t>
        </w:r>
      </w:hyperlink>
      <w:r>
        <w:t xml:space="preserve">.</w:t>
      </w:r>
    </w:p>
    <w:bookmarkEnd w:id="265"/>
    <w:bookmarkStart w:id="26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6">
        <w:r>
          <w:rPr>
            <w:rStyle w:val="Hyperlink"/>
          </w:rPr>
          <w:t xml:space="preserve">https://doi.org/10.1109/TGRS.2022.3147472</w:t>
        </w:r>
      </w:hyperlink>
      <w:r>
        <w:t xml:space="preserve">.</w:t>
      </w:r>
    </w:p>
    <w:bookmarkEnd w:id="267"/>
    <w:bookmarkStart w:id="26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8">
        <w:r>
          <w:rPr>
            <w:rStyle w:val="Hyperlink"/>
          </w:rPr>
          <w:t xml:space="preserve">https://doi.org/10.1109/TGRS.2011.2120616</w:t>
        </w:r>
      </w:hyperlink>
      <w:r>
        <w:t xml:space="preserve">.</w:t>
      </w:r>
    </w:p>
    <w:bookmarkEnd w:id="269"/>
    <w:bookmarkStart w:id="27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0">
        <w:r>
          <w:rPr>
            <w:rStyle w:val="Hyperlink"/>
          </w:rPr>
          <w:t xml:space="preserve">https://doi.org/10.1109/TGRS.2010.2099124</w:t>
        </w:r>
      </w:hyperlink>
      <w:r>
        <w:t xml:space="preserve">.</w:t>
      </w:r>
    </w:p>
    <w:bookmarkEnd w:id="271"/>
    <w:bookmarkStart w:id="27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2">
        <w:r>
          <w:rPr>
            <w:rStyle w:val="Hyperlink"/>
          </w:rPr>
          <w:t xml:space="preserve">https://doi.org/10.1109/LGRS.2017.2753580</w:t>
        </w:r>
      </w:hyperlink>
      <w:r>
        <w:t xml:space="preserve">.</w:t>
      </w:r>
    </w:p>
    <w:bookmarkEnd w:id="273"/>
    <w:bookmarkStart w:id="27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4">
        <w:r>
          <w:rPr>
            <w:rStyle w:val="Hyperlink"/>
          </w:rPr>
          <w:t xml:space="preserve">https://doi.org/10.1109/TGRS.2010.2051333</w:t>
        </w:r>
      </w:hyperlink>
      <w:r>
        <w:t xml:space="preserve">.</w:t>
      </w:r>
    </w:p>
    <w:bookmarkEnd w:id="275"/>
    <w:bookmarkEnd w:id="276"/>
    <w:p>
      <w:r>
        <w:br w:type="page"/>
      </w:r>
    </w:p>
    <w:bookmarkEnd w:id="277"/>
    <w:bookmarkStart w:id="299" w:name="annexes"/>
    <w:p>
      <w:pPr>
        <w:pStyle w:val="berschrift2"/>
      </w:pPr>
      <w:r>
        <w:t xml:space="preserve">Annexes</w:t>
      </w:r>
    </w:p>
    <w:bookmarkStart w:id="279"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8"/>
    <w:bookmarkEnd w:id="279"/>
    <w:bookmarkStart w:id="291"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0"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0"/>
    </w:p>
    <w:p>
      <w:pPr>
        <w:pStyle w:val="FirstParagraph"/>
      </w:pPr>
      <w:r>
        <w:t xml:space="preserve">Where</w:t>
      </w:r>
    </w:p>
    <w:p>
      <w:pPr>
        <w:pStyle w:val="Textkrper"/>
      </w:pPr>
      <w:bookmarkStart w:id="281"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1"/>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2"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2"/>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3"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3"/>
    </w:p>
    <w:p>
      <w:pPr>
        <w:pStyle w:val="FirstParagraph"/>
      </w:pPr>
      <w:bookmarkStart w:id="284"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4"/>
    </w:p>
    <w:p>
      <w:pPr>
        <w:pStyle w:val="FirstParagraph"/>
      </w:pPr>
      <w:r>
        <w:t xml:space="preserve">The differential phase is</w:t>
      </w:r>
    </w:p>
    <w:p>
      <w:pPr>
        <w:pStyle w:val="Textkrper"/>
      </w:pPr>
      <w:bookmarkStart w:id="285"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5"/>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6"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6"/>
    </w:p>
    <w:p>
      <w:pPr>
        <w:pStyle w:val="FirstParagraph"/>
      </w:pPr>
      <w:bookmarkStart w:id="287"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7"/>
    </w:p>
    <w:p>
      <w:pPr>
        <w:pStyle w:val="FirstParagraph"/>
      </w:pPr>
      <w:bookmarkStart w:id="288"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8"/>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9"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9"/>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0"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0"/>
    </w:p>
    <w:bookmarkEnd w:id="291"/>
    <w:bookmarkStart w:id="298"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2"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2"/>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3"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3"/>
    </w:p>
    <w:p>
      <w:pPr>
        <w:pStyle w:val="FirstParagraph"/>
      </w:pPr>
      <w:bookmarkStart w:id="294"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4"/>
    </w:p>
    <w:p>
      <w:pPr>
        <w:pStyle w:val="FirstParagraph"/>
      </w:pPr>
      <w:bookmarkStart w:id="295"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5"/>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6"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6"/>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7"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7"/>
    </w:p>
    <w:bookmarkEnd w:id="298"/>
    <w:bookmarkEnd w:id="299"/>
    <w:bookmarkEnd w:id="300"/>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7"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4" Target="https://doi.org/10.1029/2011JE003986" TargetMode="External" /><Relationship Type="http://schemas.openxmlformats.org/officeDocument/2006/relationships/hyperlink" Id="rId272" Target="https://doi.org/10.1109/LGRS.2017.2753580" TargetMode="External" /><Relationship Type="http://schemas.openxmlformats.org/officeDocument/2006/relationships/hyperlink" Id="rId262" Target="https://doi.org/10.1109/TGRS.2008.2002881" TargetMode="External" /><Relationship Type="http://schemas.openxmlformats.org/officeDocument/2006/relationships/hyperlink" Id="rId274" Target="https://doi.org/10.1109/TGRS.2010.2051333" TargetMode="External" /><Relationship Type="http://schemas.openxmlformats.org/officeDocument/2006/relationships/hyperlink" Id="rId270" Target="https://doi.org/10.1109/TGRS.2010.2099124" TargetMode="External" /><Relationship Type="http://schemas.openxmlformats.org/officeDocument/2006/relationships/hyperlink" Id="rId268" Target="https://doi.org/10.1109/TGRS.2011.2120616" TargetMode="External" /><Relationship Type="http://schemas.openxmlformats.org/officeDocument/2006/relationships/hyperlink" Id="rId26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Normalised Radar Backscatter - Version 1.1.0-draft</dc:title>
  <dc:creator/>
  <dc:language>en</dc:language>
  <cp:keywords/>
  <dcterms:created xsi:type="dcterms:W3CDTF">2026-03-29T16:16:24Z</dcterms:created>
  <dcterms:modified xsi:type="dcterms:W3CDTF">2026-03-29T16:16:24Z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