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1" name="Picture"/>
            <a:graphic>
              <a:graphicData uri="http://schemas.openxmlformats.org/drawingml/2006/picture">
                <pic:pic>
                  <pic:nvPicPr>
                    <pic:cNvPr descr="assets/CEOS_logo_colour_black_text_right.png" id="22" name="Picture"/>
                    <pic:cNvPicPr>
                      <a:picLocks noChangeArrowheads="1" noChangeAspect="1"/>
                    </pic:cNvPicPr>
                  </pic:nvPicPr>
                  <pic:blipFill>
                    <a:blip r:embed="rId20"/>
                    <a:stretch>
                      <a:fillRect/>
                    </a:stretch>
                  </pic:blipFill>
                  <pic:spPr bwMode="auto">
                    <a:xfrm>
                      <a:off x="0" y="0"/>
                      <a:ext cx="5727700" cy="1381957"/>
                    </a:xfrm>
                    <a:prstGeom prst="rect">
                      <a:avLst/>
                    </a:prstGeom>
                    <a:noFill/>
                    <a:ln w="9525">
                      <a:noFill/>
                      <a:headEnd/>
                      <a:tailEnd/>
                    </a:ln>
                  </pic:spPr>
                </pic:pic>
              </a:graphicData>
            </a:graphic>
          </wp:inline>
        </w:drawing>
      </w:r>
    </w:p>
    <w:bookmarkStart w:id="85" w:name="Xce600f72cb23def82478a30d868cf03fbc410f5"/>
    <w:p>
      <w:pPr>
        <w:pStyle w:val="berschrift1"/>
      </w:pPr>
      <w:r>
        <w:t xml:space="preserve">CEOS-ARD - Optical - Nighttime Light Surface Radiance</w:t>
      </w:r>
    </w:p>
    <w:p>
      <w:pPr>
        <w:pStyle w:val="FirstParagraph"/>
      </w:pPr>
      <w:r>
        <w:t xml:space="preserve"> </w:t>
      </w:r>
    </w:p>
    <w:bookmarkStart w:id="24" w:name="document-status"/>
    <w:p>
      <w:pPr>
        <w:pStyle w:val="berschrift2"/>
      </w:pPr>
      <w:r>
        <w:t xml:space="preserve">Document Status</w:t>
      </w:r>
    </w:p>
    <w:p>
      <w:pPr>
        <w:pStyle w:val="FirstParagraph"/>
      </w:pPr>
      <w:r>
        <w:t xml:space="preserve">Product Family Specification, Optical, Nighttime Light Surface Radiance</w:t>
      </w:r>
    </w:p>
    <w:p>
      <w:pPr>
        <w:pStyle w:val="Textkrper"/>
      </w:pPr>
      <w:r>
        <w:t xml:space="preserve">Proposed revisions may be provided to:</w:t>
      </w:r>
      <w:r>
        <w:t xml:space="preserve"> </w:t>
      </w:r>
      <w:hyperlink r:id="rId23">
        <w:r>
          <w:rPr>
            <w:rStyle w:val="Hyperlink"/>
          </w:rPr>
          <w:t xml:space="preserve">ard-contact@lists.ceos.org</w:t>
        </w:r>
      </w:hyperlink>
    </w:p>
    <w:bookmarkEnd w:id="24"/>
    <w:bookmarkStart w:id="25" w:name="document-history"/>
    <w:p>
      <w:pPr>
        <w:pStyle w:val="berschrift2"/>
      </w:pPr>
      <w:r>
        <w:t xml:space="preserve">Document History</w:t>
      </w:r>
    </w:p>
    <w:p>
      <w:pPr>
        <w:pStyle w:val="FirstParagraph"/>
      </w:pPr>
      <w:r>
        <w:t xml:space="preserve">Not available yet</w:t>
      </w:r>
    </w:p>
    <w:bookmarkEnd w:id="25"/>
    <w:bookmarkStart w:id="26" w:name="contributing-authors"/>
    <w:p>
      <w:pPr>
        <w:pStyle w:val="berschrift2"/>
      </w:pPr>
      <w:r>
        <w:t xml:space="preserve">Contributing Authors</w:t>
      </w:r>
    </w:p>
    <w:p>
      <w:pPr>
        <w:pStyle w:val="Compact"/>
        <w:numPr>
          <w:ilvl w:val="0"/>
          <w:numId w:val="1001"/>
        </w:numPr>
      </w:pPr>
      <w:r>
        <w:t xml:space="preserve">Brian Killough, NASA, USA</w:t>
      </w:r>
    </w:p>
    <w:p>
      <w:pPr>
        <w:pStyle w:val="Compact"/>
        <w:numPr>
          <w:ilvl w:val="0"/>
          <w:numId w:val="1001"/>
        </w:numPr>
      </w:pPr>
      <w:r>
        <w:t xml:space="preserve">Bhaskar Ramachandran, NASA, USA</w:t>
      </w:r>
    </w:p>
    <w:p>
      <w:pPr>
        <w:pStyle w:val="Compact"/>
        <w:numPr>
          <w:ilvl w:val="0"/>
          <w:numId w:val="1001"/>
        </w:numPr>
      </w:pPr>
      <w:r>
        <w:t xml:space="preserve">Miguel Román, Leidos Inc., USA</w:t>
      </w:r>
    </w:p>
    <w:p>
      <w:pPr>
        <w:pStyle w:val="Compact"/>
        <w:numPr>
          <w:ilvl w:val="0"/>
          <w:numId w:val="1001"/>
        </w:numPr>
      </w:pPr>
      <w:r>
        <w:t xml:space="preserve">Zhuosen Wang, University of Maryland, USA</w:t>
      </w:r>
    </w:p>
    <w:p>
      <w:r>
        <w:br w:type="page"/>
      </w:r>
    </w:p>
    <w:bookmarkEnd w:id="26"/>
    <w:bookmarkStart w:id="27"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27"/>
    <w:bookmarkStart w:id="28" w:name="description"/>
    <w:p>
      <w:pPr>
        <w:pStyle w:val="berschrift2"/>
      </w:pPr>
      <w:r>
        <w:t xml:space="preserve">Description</w:t>
      </w:r>
    </w:p>
    <w:p>
      <w:pPr>
        <w:pStyle w:val="FirstParagraph"/>
      </w:pPr>
      <w:r>
        <w:rPr>
          <w:b/>
          <w:bCs/>
        </w:rPr>
        <w:t xml:space="preserve">Product Family Specification:</w:t>
      </w:r>
      <w:r>
        <w:t xml:space="preserve"> </w:t>
      </w:r>
      <w:r>
        <w:t xml:space="preserve">Optical, Nighttime Light Surface Radiance (NLSR)</w:t>
      </w:r>
    </w:p>
    <w:p>
      <w:pPr>
        <w:pStyle w:val="Textkrper"/>
      </w:pPr>
      <w:r>
        <w:rPr>
          <w:b/>
          <w:bCs/>
        </w:rPr>
        <w:t xml:space="preserve">Version:</w:t>
      </w:r>
      <w:r>
        <w:t xml:space="preserve"> </w:t>
      </w:r>
      <w:r>
        <w:t xml:space="preserve">1.1-draft</w:t>
      </w:r>
    </w:p>
    <w:p>
      <w:pPr>
        <w:pStyle w:val="Textkrper"/>
      </w:pPr>
      <w:r>
        <w:rPr>
          <w:b/>
          <w:bCs/>
        </w:rPr>
        <w:t xml:space="preserve">Applies to:</w:t>
      </w:r>
      <w:r>
        <w:t xml:space="preserve"> </w:t>
      </w:r>
      <w:r>
        <w:t xml:space="preserve">Data collected by Optical sensors</w:t>
      </w:r>
    </w:p>
    <w:bookmarkEnd w:id="28"/>
    <w:bookmarkStart w:id="29" w:name="background"/>
    <w:p>
      <w:pPr>
        <w:pStyle w:val="berschrift2"/>
      </w:pPr>
      <w:r>
        <w:t xml:space="preserve">Background</w:t>
      </w:r>
    </w:p>
    <w:p>
      <w:pPr>
        <w:pStyle w:val="FirstParagraph"/>
      </w:pPr>
      <w:r>
        <w:t xml:space="preserve">Data collected with nighttime light sensors operating in the VIS/NIR wavelengths.</w:t>
      </w:r>
      <w:r>
        <w:t xml:space="preserve"> </w:t>
      </w:r>
      <w:r>
        <w:t xml:space="preserve">These typically operate with ground sample distance and resolution in the order of 10-1000m;</w:t>
      </w:r>
      <w:r>
        <w:t xml:space="preserve"> </w:t>
      </w:r>
      <w:r>
        <w:t xml:space="preserve">however, the Specification is not inherently limited to this resolution.</w:t>
      </w:r>
    </w:p>
    <w:p>
      <w:r>
        <w:br w:type="page"/>
      </w:r>
    </w:p>
    <w:bookmarkEnd w:id="29"/>
    <w:bookmarkStart w:id="30" w:name="definitions-and-abbreviations"/>
    <w:p>
      <w:pPr>
        <w:pStyle w:val="berschrift2"/>
      </w:pPr>
      <w:r>
        <w:t xml:space="preserve">Definitions and Abbreviations</w:t>
      </w:r>
    </w:p>
    <w:p>
      <w:pPr>
        <w:pStyle w:val="DefinitionTerm"/>
      </w:pPr>
      <w:r>
        <w:t xml:space="preserve">CEOS-ARD</w:t>
      </w:r>
    </w:p>
    <w:p>
      <w:pPr>
        <w:pStyle w:val="Definition"/>
      </w:pPr>
      <w:r>
        <w:t xml:space="preserve">Committee on Earth Observation Satellites - Analysis Ready Data</w:t>
      </w:r>
    </w:p>
    <w:p>
      <w:pPr>
        <w:pStyle w:val="DefinitionTerm"/>
      </w:pPr>
      <w:r>
        <w:t xml:space="preserve">DOI</w:t>
      </w:r>
    </w:p>
    <w:p>
      <w:pPr>
        <w:pStyle w:val="Definition"/>
      </w:pPr>
      <w:r>
        <w:t xml:space="preserve">Digital Object Identifier</w:t>
      </w:r>
    </w:p>
    <w:p>
      <w:pPr>
        <w:pStyle w:val="DefinitionTerm"/>
      </w:pPr>
      <w:r>
        <w:t xml:space="preserve">NIR</w:t>
      </w:r>
    </w:p>
    <w:p>
      <w:pPr>
        <w:pStyle w:val="Definition"/>
      </w:pPr>
      <w:r>
        <w:t xml:space="preserve">Near Infrared</w:t>
      </w:r>
    </w:p>
    <w:p>
      <w:pPr>
        <w:pStyle w:val="DefinitionTerm"/>
      </w:pPr>
      <w:r>
        <w:t xml:space="preserve">NLSR</w:t>
      </w:r>
    </w:p>
    <w:p>
      <w:pPr>
        <w:pStyle w:val="Definition"/>
      </w:pPr>
      <w:r>
        <w:t xml:space="preserve">Nighttime Light Surface Radiance</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VIS</w:t>
      </w:r>
    </w:p>
    <w:p>
      <w:pPr>
        <w:pStyle w:val="Definition"/>
      </w:pPr>
      <w:r>
        <w:t xml:space="preserve">Visible</w:t>
      </w:r>
    </w:p>
    <w:p>
      <w:r>
        <w:br w:type="page"/>
      </w:r>
    </w:p>
    <w:bookmarkEnd w:id="30"/>
    <w:bookmarkStart w:id="61"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35"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34" w:name="sec:meta.metadata-traceability"/>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meta.metadata-traceability</w:t>
      </w:r>
    </w:p>
    <w:bookmarkStart w:id="31" w:name="threshold-requirements"/>
    <w:p>
      <w:pPr>
        <w:pStyle w:val="berschrift5"/>
      </w:pPr>
      <w:r>
        <w:t xml:space="preserve">Threshold requirements:</w:t>
      </w:r>
    </w:p>
    <w:p>
      <w:pPr>
        <w:pStyle w:val="FirstParagraph"/>
      </w:pPr>
      <w:r>
        <w:t xml:space="preserve">Not required.</w:t>
      </w:r>
      <w:r>
        <w:t xml:space="preserve"> </w:t>
      </w:r>
    </w:p>
    <w:bookmarkEnd w:id="31"/>
    <w:bookmarkStart w:id="32"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2"/>
        </w:numPr>
      </w:pPr>
      <w:r>
        <w:t xml:space="preserve">Relationship to Section </w:t>
      </w:r>
      <w:r>
        <w:t xml:space="preserve">“</w:t>
      </w:r>
      <w:hyperlink w:anchor="sec:rac.measurements-uncertainty">
        <w:r>
          <w:rPr>
            <w:rStyle w:val="Hyperlink"/>
          </w:rPr>
          <w:t xml:space="preserve">Radiometric and Atmospheric Corrections: Measurement Uncertainty</w:t>
        </w:r>
      </w:hyperlink>
      <w:r>
        <w:t xml:space="preserve">”</w:t>
      </w:r>
      <w:r>
        <w:t xml:space="preserve">. Traceability requires an estimate of measurement uncertainty.</w:t>
      </w:r>
    </w:p>
    <w:p>
      <w:pPr>
        <w:pStyle w:val="Compact"/>
        <w:numPr>
          <w:ilvl w:val="0"/>
          <w:numId w:val="1002"/>
        </w:numPr>
      </w:pPr>
      <w:r>
        <w:t xml:space="preserve">Information on traceability should be available in the metadata as a single DOI landing page.</w:t>
      </w:r>
    </w:p>
    <w:bookmarkEnd w:id="32"/>
    <w:bookmarkStart w:id="33" w:name="assessment"/>
    <w:p>
      <w:pPr>
        <w:pStyle w:val="berschrift5"/>
      </w:pPr>
      <w:r>
        <w:t xml:space="preserve">Assessment:</w:t>
      </w:r>
    </w:p>
    <w:p>
      <w:pPr>
        <w:pStyle w:val="Compact"/>
        <w:numPr>
          <w:ilvl w:val="0"/>
          <w:numId w:val="1003"/>
        </w:numPr>
      </w:pPr>
      <w:r>
        <w:t xml:space="preserve">Threshold Self-Assessment:</w:t>
      </w:r>
    </w:p>
    <w:p>
      <w:pPr>
        <w:pStyle w:val="Compact"/>
        <w:numPr>
          <w:ilvl w:val="0"/>
          <w:numId w:val="1003"/>
        </w:numPr>
      </w:pPr>
      <w:r>
        <w:t xml:space="preserve">Goal Self-Assessment:</w:t>
      </w:r>
    </w:p>
    <w:p>
      <w:pPr>
        <w:pStyle w:val="Compact"/>
        <w:numPr>
          <w:ilvl w:val="0"/>
          <w:numId w:val="1003"/>
        </w:numPr>
      </w:pPr>
      <w:r>
        <w:t xml:space="preserve">Self-Assessment Explanation/ Justification:</w:t>
      </w:r>
    </w:p>
    <w:p>
      <w:pPr>
        <w:pStyle w:val="Compact"/>
        <w:numPr>
          <w:ilvl w:val="0"/>
          <w:numId w:val="1003"/>
        </w:numPr>
      </w:pPr>
      <w:r>
        <w:t xml:space="preserve">Recommended Requirement Modification:</w:t>
      </w:r>
    </w:p>
    <w:bookmarkEnd w:id="33"/>
    <w:bookmarkEnd w:id="34"/>
    <w:bookmarkEnd w:id="35"/>
    <w:bookmarkStart w:id="40" w:name="sec:src"/>
    <w:p>
      <w:pPr>
        <w:pStyle w:val="berschrift3"/>
      </w:pPr>
      <w:r>
        <w:rPr>
          <w:rStyle w:val="VerbatimChar"/>
        </w:rPr>
        <w:t xml:space="preserve">2.</w:t>
      </w:r>
      <w:r>
        <w:t xml:space="preserve"> </w:t>
      </w:r>
      <w:r>
        <w:t xml:space="preserve">Source Metadata</w:t>
      </w:r>
    </w:p>
    <w:p>
      <w:pPr>
        <w:pStyle w:val="FirstParagraph"/>
      </w:pPr>
      <w:r>
        <w:t xml:space="preserve">These are metadata records describing (detailing)</w:t>
      </w:r>
      <w:r>
        <w:t xml:space="preserve"> </w:t>
      </w:r>
      <w:r>
        <w:rPr>
          <w:b/>
          <w:bCs/>
        </w:rPr>
        <w:t xml:space="preserve">each</w:t>
      </w:r>
      <w:r>
        <w:t xml:space="preserve"> </w:t>
      </w:r>
      <w:r>
        <w:t xml:space="preserve">acquisition (source data) used to generate the ARD product.</w:t>
      </w:r>
      <w:r>
        <w:t xml:space="preserve"> </w:t>
      </w:r>
      <w:r>
        <w:t xml:space="preserve">This may be one or mutliple acquisitions.</w:t>
      </w:r>
    </w:p>
    <w:bookmarkStart w:id="39" w:name="sec:src.example"/>
    <w:p>
      <w:pPr>
        <w:pStyle w:val="berschrift4"/>
      </w:pPr>
      <w:r>
        <w:rPr>
          <w:rStyle w:val="VerbatimChar"/>
        </w:rPr>
        <w:t xml:space="preserve">2.1.</w:t>
      </w:r>
      <w:r>
        <w:t xml:space="preserve"> </w:t>
      </w:r>
      <w:r>
        <w:t xml:space="preserve">Example Requirement</w:t>
      </w:r>
    </w:p>
    <w:p>
      <w:pPr>
        <w:pStyle w:val="FirstParagraph"/>
      </w:pPr>
      <w:r>
        <w:t xml:space="preserve">Identifier:</w:t>
      </w:r>
      <w:r>
        <w:t xml:space="preserve"> </w:t>
      </w:r>
      <w:r>
        <w:rPr>
          <w:rStyle w:val="VerbatimChar"/>
        </w:rPr>
        <w:t xml:space="preserve">src.example</w:t>
      </w:r>
    </w:p>
    <w:p>
      <w:pPr>
        <w:pStyle w:val="Textkrper"/>
      </w:pPr>
      <w:r>
        <w:t xml:space="preserve">This is an example requirement.</w:t>
      </w:r>
    </w:p>
    <w:bookmarkStart w:id="36" w:name="threshold-requirements-1"/>
    <w:p>
      <w:pPr>
        <w:pStyle w:val="berschrift5"/>
      </w:pPr>
      <w:r>
        <w:t xml:space="preserve">Threshold requirements:</w:t>
      </w:r>
    </w:p>
    <w:p>
      <w:pPr>
        <w:pStyle w:val="FirstParagraph"/>
      </w:pPr>
      <w:r>
        <w:t xml:space="preserve">This is a threshold requirement.</w:t>
      </w:r>
    </w:p>
    <w:bookmarkEnd w:id="36"/>
    <w:bookmarkStart w:id="37" w:name="goal-requirements-1"/>
    <w:p>
      <w:pPr>
        <w:pStyle w:val="berschrift5"/>
      </w:pPr>
      <w:r>
        <w:t xml:space="preserve">Goal requirements:</w:t>
      </w:r>
    </w:p>
    <w:p>
      <w:pPr>
        <w:pStyle w:val="FirstParagraph"/>
      </w:pPr>
      <w:r>
        <w:t xml:space="preserve">This is a goal requirement.</w:t>
      </w:r>
    </w:p>
    <w:p>
      <w:pPr>
        <w:pStyle w:val="Textkrper"/>
      </w:pPr>
      <w:r>
        <w:t xml:space="preserve">Notes:</w:t>
      </w:r>
    </w:p>
    <w:p>
      <w:pPr>
        <w:pStyle w:val="Compact"/>
        <w:numPr>
          <w:ilvl w:val="0"/>
          <w:numId w:val="1004"/>
        </w:numPr>
      </w:pPr>
      <w:r>
        <w:t xml:space="preserve">This is a note.</w:t>
      </w:r>
    </w:p>
    <w:bookmarkEnd w:id="37"/>
    <w:bookmarkStart w:id="38" w:name="assessment-1"/>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bookmarkEnd w:id="38"/>
    <w:bookmarkEnd w:id="39"/>
    <w:bookmarkEnd w:id="40"/>
    <w:bookmarkStart w:id="45" w:name="sec:prd"/>
    <w:p>
      <w:pPr>
        <w:pStyle w:val="berschrift3"/>
      </w:pPr>
      <w:r>
        <w:rPr>
          <w:rStyle w:val="VerbatimChar"/>
        </w:rPr>
        <w:t xml:space="preserve">3.</w:t>
      </w:r>
      <w:r>
        <w:t xml:space="preserve"> </w:t>
      </w:r>
      <w:r>
        <w:t xml:space="preserve">Product Metadata</w:t>
      </w:r>
    </w:p>
    <w:p>
      <w:pPr>
        <w:pStyle w:val="FirstParagraph"/>
      </w:pPr>
      <w:r>
        <w:t xml:space="preserve">Information related to the CEOS-ARD product generation procedure and geographic parameters.</w:t>
      </w:r>
    </w:p>
    <w:bookmarkStart w:id="44" w:name="sec:prd.example"/>
    <w:p>
      <w:pPr>
        <w:pStyle w:val="berschrift4"/>
      </w:pPr>
      <w:r>
        <w:rPr>
          <w:rStyle w:val="VerbatimChar"/>
        </w:rPr>
        <w:t xml:space="preserve">3.1.</w:t>
      </w:r>
      <w:r>
        <w:t xml:space="preserve"> </w:t>
      </w:r>
      <w:r>
        <w:t xml:space="preserve">Example Requirement</w:t>
      </w:r>
    </w:p>
    <w:p>
      <w:pPr>
        <w:pStyle w:val="FirstParagraph"/>
      </w:pPr>
      <w:r>
        <w:t xml:space="preserve">Identifier:</w:t>
      </w:r>
      <w:r>
        <w:t xml:space="preserve"> </w:t>
      </w:r>
      <w:r>
        <w:rPr>
          <w:rStyle w:val="VerbatimChar"/>
        </w:rPr>
        <w:t xml:space="preserve">prd.example</w:t>
      </w:r>
    </w:p>
    <w:p>
      <w:pPr>
        <w:pStyle w:val="Textkrper"/>
      </w:pPr>
      <w:r>
        <w:t xml:space="preserve">This is an example requirement.</w:t>
      </w:r>
    </w:p>
    <w:bookmarkStart w:id="41" w:name="threshold-requirements-2"/>
    <w:p>
      <w:pPr>
        <w:pStyle w:val="berschrift5"/>
      </w:pPr>
      <w:r>
        <w:t xml:space="preserve">Threshold requirements:</w:t>
      </w:r>
    </w:p>
    <w:p>
      <w:pPr>
        <w:pStyle w:val="FirstParagraph"/>
      </w:pPr>
      <w:r>
        <w:t xml:space="preserve">This is a threshold requirement.</w:t>
      </w:r>
    </w:p>
    <w:bookmarkEnd w:id="41"/>
    <w:bookmarkStart w:id="42" w:name="goal-requirements-2"/>
    <w:p>
      <w:pPr>
        <w:pStyle w:val="berschrift5"/>
      </w:pPr>
      <w:r>
        <w:t xml:space="preserve">Goal requirements:</w:t>
      </w:r>
    </w:p>
    <w:p>
      <w:pPr>
        <w:pStyle w:val="FirstParagraph"/>
      </w:pPr>
      <w:r>
        <w:t xml:space="preserve">This is a goal requirement.</w:t>
      </w:r>
    </w:p>
    <w:p>
      <w:pPr>
        <w:pStyle w:val="Textkrper"/>
      </w:pPr>
      <w:r>
        <w:t xml:space="preserve">Notes:</w:t>
      </w:r>
    </w:p>
    <w:p>
      <w:pPr>
        <w:pStyle w:val="Compact"/>
        <w:numPr>
          <w:ilvl w:val="0"/>
          <w:numId w:val="1006"/>
        </w:numPr>
      </w:pPr>
      <w:r>
        <w:t xml:space="preserve">This is a note.</w:t>
      </w:r>
    </w:p>
    <w:bookmarkEnd w:id="42"/>
    <w:bookmarkStart w:id="43" w:name="assessment-2"/>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bookmarkEnd w:id="43"/>
    <w:bookmarkEnd w:id="44"/>
    <w:bookmarkEnd w:id="45"/>
    <w:bookmarkStart w:id="50" w:name="sec:pxl"/>
    <w:p>
      <w:pPr>
        <w:pStyle w:val="berschrift3"/>
      </w:pPr>
      <w:r>
        <w:rPr>
          <w:rStyle w:val="VerbatimChar"/>
        </w:rPr>
        <w:t xml:space="preserve">4.</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are provided in a single record relevant to all pixels or separately for each pixel is at the discretion of the data provider.</w:t>
      </w:r>
      <w:r>
        <w:t xml:space="preserve"> </w:t>
      </w:r>
      <w:r>
        <w:t xml:space="preserve">Per-pixel metadata should allow users to discriminate between (choose) observations on the basis of their individual suitability for applications.</w:t>
      </w:r>
    </w:p>
    <w:p>
      <w:pPr>
        <w:pStyle w:val="Textkrper"/>
      </w:pPr>
      <w:r>
        <w:rPr>
          <w:i/>
          <w:iCs/>
        </w:rPr>
        <w:t xml:space="preserve">Cloud optimized file formats are recommended.</w:t>
      </w:r>
    </w:p>
    <w:bookmarkStart w:id="49" w:name="sec:pxl.example"/>
    <w:p>
      <w:pPr>
        <w:pStyle w:val="berschrift4"/>
      </w:pPr>
      <w:r>
        <w:rPr>
          <w:rStyle w:val="VerbatimChar"/>
        </w:rPr>
        <w:t xml:space="preserve">4.1.</w:t>
      </w:r>
      <w:r>
        <w:t xml:space="preserve"> </w:t>
      </w:r>
      <w:r>
        <w:t xml:space="preserve">Example Requirement</w:t>
      </w:r>
    </w:p>
    <w:p>
      <w:pPr>
        <w:pStyle w:val="FirstParagraph"/>
      </w:pPr>
      <w:r>
        <w:t xml:space="preserve">Identifier:</w:t>
      </w:r>
      <w:r>
        <w:t xml:space="preserve"> </w:t>
      </w:r>
      <w:r>
        <w:rPr>
          <w:rStyle w:val="VerbatimChar"/>
        </w:rPr>
        <w:t xml:space="preserve">pxl.example</w:t>
      </w:r>
    </w:p>
    <w:p>
      <w:pPr>
        <w:pStyle w:val="Textkrper"/>
      </w:pPr>
      <w:r>
        <w:t xml:space="preserve">This is an example requirement.</w:t>
      </w:r>
    </w:p>
    <w:bookmarkStart w:id="46" w:name="threshold-requirements-3"/>
    <w:p>
      <w:pPr>
        <w:pStyle w:val="berschrift5"/>
      </w:pPr>
      <w:r>
        <w:t xml:space="preserve">Threshold requirements:</w:t>
      </w:r>
    </w:p>
    <w:p>
      <w:pPr>
        <w:pStyle w:val="FirstParagraph"/>
      </w:pPr>
      <w:r>
        <w:t xml:space="preserve">This is a threshold requirement.</w:t>
      </w:r>
    </w:p>
    <w:bookmarkEnd w:id="46"/>
    <w:bookmarkStart w:id="47" w:name="goal-requirements-3"/>
    <w:p>
      <w:pPr>
        <w:pStyle w:val="berschrift5"/>
      </w:pPr>
      <w:r>
        <w:t xml:space="preserve">Goal requirements:</w:t>
      </w:r>
    </w:p>
    <w:p>
      <w:pPr>
        <w:pStyle w:val="FirstParagraph"/>
      </w:pPr>
      <w:r>
        <w:t xml:space="preserve">This is a goal requirement.</w:t>
      </w:r>
    </w:p>
    <w:p>
      <w:pPr>
        <w:pStyle w:val="Textkrper"/>
      </w:pPr>
      <w:r>
        <w:t xml:space="preserve">Notes:</w:t>
      </w:r>
    </w:p>
    <w:p>
      <w:pPr>
        <w:pStyle w:val="Compact"/>
        <w:numPr>
          <w:ilvl w:val="0"/>
          <w:numId w:val="1008"/>
        </w:numPr>
      </w:pPr>
      <w:r>
        <w:t xml:space="preserve">This is a note.</w:t>
      </w:r>
    </w:p>
    <w:bookmarkEnd w:id="47"/>
    <w:bookmarkStart w:id="48" w:name="assessment-3"/>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bookmarkEnd w:id="48"/>
    <w:bookmarkEnd w:id="49"/>
    <w:bookmarkEnd w:id="50"/>
    <w:bookmarkStart w:id="55" w:name="sec:rac"/>
    <w:p>
      <w:pPr>
        <w:pStyle w:val="berschrift3"/>
      </w:pPr>
      <w:r>
        <w:rPr>
          <w:rStyle w:val="VerbatimChar"/>
        </w:rPr>
        <w:t xml:space="preserve">5.</w:t>
      </w:r>
      <w:r>
        <w:t xml:space="preserve"> </w:t>
      </w:r>
      <w:r>
        <w:t xml:space="preserve">Radiometric and Atmospheric Corrections</w:t>
      </w:r>
    </w:p>
    <w:p>
      <w:pPr>
        <w:pStyle w:val="FirstParagraph"/>
      </w:pPr>
      <w:r>
        <w:t xml:space="preserve">The following requirements must be met for all pixels in a collection.</w:t>
      </w:r>
      <w:r>
        <w:t xml:space="preserve"> </w:t>
      </w:r>
      <w:r>
        <w:t xml:space="preserve">The requirements indicate both the necessary outcomes and the minimum steps necessary to be deemed to have achieved those outcomes. Radiometric corrections must lead to a valid measurement.</w:t>
      </w:r>
    </w:p>
    <w:bookmarkStart w:id="54" w:name="sec:rac.measurements-uncertainty"/>
    <w:p>
      <w:pPr>
        <w:pStyle w:val="berschrift4"/>
      </w:pPr>
      <w:r>
        <w:rPr>
          <w:rStyle w:val="VerbatimChar"/>
        </w:rPr>
        <w:t xml:space="preserve">5.1.</w:t>
      </w:r>
      <w:r>
        <w:t xml:space="preserve"> </w:t>
      </w:r>
      <w:r>
        <w:t xml:space="preserve">Measurement Uncertainty</w:t>
      </w:r>
    </w:p>
    <w:p>
      <w:pPr>
        <w:pStyle w:val="FirstParagraph"/>
      </w:pPr>
      <w:r>
        <w:t xml:space="preserve">Identifier:</w:t>
      </w:r>
      <w:r>
        <w:t xml:space="preserve"> </w:t>
      </w:r>
      <w:r>
        <w:rPr>
          <w:rStyle w:val="VerbatimChar"/>
        </w:rPr>
        <w:t xml:space="preserve">rac.measurements-uncertainty</w:t>
      </w:r>
    </w:p>
    <w:p>
      <w:pPr>
        <w:pStyle w:val="Textkrper"/>
      </w:pPr>
      <w:r>
        <w:t xml:space="preserve">Note: In current practice, users determine fitness for purpose based on knowledge of the lineage of the data, rather than on a specific estimate of measurement uncertainty.</w:t>
      </w:r>
    </w:p>
    <w:bookmarkStart w:id="51" w:name="threshold-requirements-4"/>
    <w:p>
      <w:pPr>
        <w:pStyle w:val="berschrift5"/>
      </w:pPr>
      <w:r>
        <w:t xml:space="preserve">Threshold requirements:</w:t>
      </w:r>
    </w:p>
    <w:p>
      <w:pPr>
        <w:pStyle w:val="FirstParagraph"/>
      </w:pPr>
      <w:r>
        <w:t xml:space="preserve">Not required.</w:t>
      </w:r>
      <w:r>
        <w:t xml:space="preserve"> </w:t>
      </w:r>
    </w:p>
    <w:bookmarkEnd w:id="51"/>
    <w:bookmarkStart w:id="52" w:name="goal-requirements-4"/>
    <w:p>
      <w:pPr>
        <w:pStyle w:val="berschrift5"/>
      </w:pPr>
      <w:r>
        <w:t xml:space="preserve">Goal requirements:</w:t>
      </w:r>
    </w:p>
    <w:p>
      <w:pPr>
        <w:pStyle w:val="FirstParagraph"/>
      </w:pPr>
      <w:r>
        <w:t xml:space="preserve">An estimate of the certainty of the values is provided in measurement units.</w:t>
      </w:r>
    </w:p>
    <w:p>
      <w:pPr>
        <w:pStyle w:val="Textkrper"/>
      </w:pPr>
      <w:r>
        <w:t xml:space="preserve">Notes:</w:t>
      </w:r>
    </w:p>
    <w:p>
      <w:pPr>
        <w:pStyle w:val="Compact"/>
        <w:numPr>
          <w:ilvl w:val="0"/>
          <w:numId w:val="1010"/>
        </w:numPr>
      </w:pPr>
      <w:r>
        <w:t xml:space="preserve">This is a requirement for SI traceability. See also Section </w:t>
      </w:r>
      <w:r>
        <w:t xml:space="preserve">“</w:t>
      </w:r>
      <w:hyperlink w:anchor="sec:meta.metadata-traceability">
        <w:r>
          <w:rPr>
            <w:rStyle w:val="Hyperlink"/>
          </w:rPr>
          <w:t xml:space="preserve">General Metadata: Traceability</w:t>
        </w:r>
      </w:hyperlink>
      <w:r>
        <w:t xml:space="preserve">”</w:t>
      </w:r>
      <w:r>
        <w:t xml:space="preserve">.</w:t>
      </w:r>
    </w:p>
    <w:p>
      <w:pPr>
        <w:pStyle w:val="Compact"/>
        <w:numPr>
          <w:ilvl w:val="0"/>
          <w:numId w:val="1010"/>
        </w:numPr>
      </w:pPr>
      <w:r>
        <w:t xml:space="preserve">Information on measurement uncertainty should be available in the metadata as a single DOI landing page.</w:t>
      </w:r>
    </w:p>
    <w:bookmarkEnd w:id="52"/>
    <w:bookmarkStart w:id="53" w:name="assessment-4"/>
    <w:p>
      <w:pPr>
        <w:pStyle w:val="berschrift5"/>
      </w:pPr>
      <w:r>
        <w:t xml:space="preserve">Assessment:</w:t>
      </w:r>
    </w:p>
    <w:p>
      <w:pPr>
        <w:pStyle w:val="Compact"/>
        <w:numPr>
          <w:ilvl w:val="0"/>
          <w:numId w:val="1011"/>
        </w:numPr>
      </w:pPr>
      <w:r>
        <w:t xml:space="preserve">Threshold Self-Assessment:</w:t>
      </w:r>
    </w:p>
    <w:p>
      <w:pPr>
        <w:pStyle w:val="Compact"/>
        <w:numPr>
          <w:ilvl w:val="0"/>
          <w:numId w:val="1011"/>
        </w:numPr>
      </w:pPr>
      <w:r>
        <w:t xml:space="preserve">Goal Self-Assessment:</w:t>
      </w:r>
    </w:p>
    <w:p>
      <w:pPr>
        <w:pStyle w:val="Compact"/>
        <w:numPr>
          <w:ilvl w:val="0"/>
          <w:numId w:val="1011"/>
        </w:numPr>
      </w:pPr>
      <w:r>
        <w:t xml:space="preserve">Self-Assessment Explanation/ Justification:</w:t>
      </w:r>
    </w:p>
    <w:p>
      <w:pPr>
        <w:pStyle w:val="Compact"/>
        <w:numPr>
          <w:ilvl w:val="0"/>
          <w:numId w:val="1011"/>
        </w:numPr>
      </w:pPr>
      <w:r>
        <w:t xml:space="preserve">Recommended Requirement Modification:</w:t>
      </w:r>
    </w:p>
    <w:bookmarkEnd w:id="53"/>
    <w:bookmarkEnd w:id="54"/>
    <w:bookmarkEnd w:id="55"/>
    <w:bookmarkStart w:id="60" w:name="sec:gcor"/>
    <w:p>
      <w:pPr>
        <w:pStyle w:val="berschrift3"/>
      </w:pPr>
      <w:r>
        <w:rPr>
          <w:rStyle w:val="VerbatimChar"/>
        </w:rPr>
        <w:t xml:space="preserve">6.</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59" w:name="sec:gcor.example"/>
    <w:p>
      <w:pPr>
        <w:pStyle w:val="berschrift4"/>
      </w:pPr>
      <w:r>
        <w:rPr>
          <w:rStyle w:val="VerbatimChar"/>
        </w:rPr>
        <w:t xml:space="preserve">6.1.</w:t>
      </w:r>
      <w:r>
        <w:t xml:space="preserve"> </w:t>
      </w:r>
      <w:r>
        <w:t xml:space="preserve">Example Requirement</w:t>
      </w:r>
    </w:p>
    <w:p>
      <w:pPr>
        <w:pStyle w:val="FirstParagraph"/>
      </w:pPr>
      <w:r>
        <w:t xml:space="preserve">Identifier:</w:t>
      </w:r>
      <w:r>
        <w:t xml:space="preserve"> </w:t>
      </w:r>
      <w:r>
        <w:rPr>
          <w:rStyle w:val="VerbatimChar"/>
        </w:rPr>
        <w:t xml:space="preserve">gcor.example</w:t>
      </w:r>
    </w:p>
    <w:p>
      <w:pPr>
        <w:pStyle w:val="Textkrper"/>
      </w:pPr>
      <w:r>
        <w:t xml:space="preserve">This is an example requirement.</w:t>
      </w:r>
    </w:p>
    <w:bookmarkStart w:id="56" w:name="threshold-requirements-5"/>
    <w:p>
      <w:pPr>
        <w:pStyle w:val="berschrift5"/>
      </w:pPr>
      <w:r>
        <w:t xml:space="preserve">Threshold requirements:</w:t>
      </w:r>
    </w:p>
    <w:p>
      <w:pPr>
        <w:pStyle w:val="FirstParagraph"/>
      </w:pPr>
      <w:r>
        <w:t xml:space="preserve">This is a threshold requirement.</w:t>
      </w:r>
    </w:p>
    <w:bookmarkEnd w:id="56"/>
    <w:bookmarkStart w:id="57" w:name="goal-requirements-5"/>
    <w:p>
      <w:pPr>
        <w:pStyle w:val="berschrift5"/>
      </w:pPr>
      <w:r>
        <w:t xml:space="preserve">Goal requirements:</w:t>
      </w:r>
    </w:p>
    <w:p>
      <w:pPr>
        <w:pStyle w:val="FirstParagraph"/>
      </w:pPr>
      <w:r>
        <w:t xml:space="preserve">This is a goal requirement.</w:t>
      </w:r>
    </w:p>
    <w:p>
      <w:pPr>
        <w:pStyle w:val="Textkrper"/>
      </w:pPr>
      <w:r>
        <w:t xml:space="preserve">Notes:</w:t>
      </w:r>
    </w:p>
    <w:p>
      <w:pPr>
        <w:pStyle w:val="Compact"/>
        <w:numPr>
          <w:ilvl w:val="0"/>
          <w:numId w:val="1012"/>
        </w:numPr>
      </w:pPr>
      <w:r>
        <w:t xml:space="preserve">This is a note.</w:t>
      </w:r>
    </w:p>
    <w:bookmarkEnd w:id="57"/>
    <w:bookmarkStart w:id="58" w:name="assessment-5"/>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br w:type="page"/>
      </w:r>
    </w:p>
    <w:bookmarkEnd w:id="58"/>
    <w:bookmarkEnd w:id="59"/>
    <w:bookmarkEnd w:id="60"/>
    <w:bookmarkEnd w:id="61"/>
    <w:bookmarkStart w:id="68" w:name="summary-self-assessment-table"/>
    <w:p>
      <w:pPr>
        <w:pStyle w:val="berschrift2"/>
      </w:pPr>
      <w:r>
        <w:t xml:space="preserve">Summary Self-Assessment Table</w:t>
      </w:r>
    </w:p>
    <w:bookmarkStart w:id="62" w:name="general-metadata"/>
    <w:p>
      <w:pPr>
        <w:pStyle w:val="berschrift3"/>
      </w:pPr>
      <w:r>
        <w:t xml:space="preserve">General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meta.metadata-traceability</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bl>
    <w:bookmarkEnd w:id="62"/>
    <w:bookmarkStart w:id="63" w:name="source-metadata"/>
    <w:p>
      <w:pPr>
        <w:pStyle w:val="berschrift3"/>
      </w:pPr>
      <w:r>
        <w:t xml:space="preserve">Source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src.example</w:t>
            </w:r>
          </w:p>
        </w:tc>
        <w:tc>
          <w:tcPr/>
          <w:p>
            <w:pPr>
              <w:pStyle w:val="Compact"/>
            </w:pPr>
            <w:r>
              <w:t xml:space="preserve">Example Requirement</w:t>
            </w:r>
          </w:p>
        </w:tc>
        <w:tc>
          <w:tcPr/>
          <w:p>
            <w:pPr>
              <w:pStyle w:val="Compact"/>
            </w:pPr>
          </w:p>
        </w:tc>
        <w:tc>
          <w:tcPr/>
          <w:p>
            <w:pPr>
              <w:pStyle w:val="Compact"/>
            </w:pPr>
          </w:p>
        </w:tc>
      </w:tr>
    </w:tbl>
    <w:bookmarkEnd w:id="63"/>
    <w:bookmarkStart w:id="64" w:name="product-metadata"/>
    <w:p>
      <w:pPr>
        <w:pStyle w:val="berschrift3"/>
      </w:pPr>
      <w:r>
        <w:t xml:space="preserve">Product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prd.example</w:t>
            </w:r>
          </w:p>
        </w:tc>
        <w:tc>
          <w:tcPr/>
          <w:p>
            <w:pPr>
              <w:pStyle w:val="Compact"/>
            </w:pPr>
            <w:r>
              <w:t xml:space="preserve">Example Requirement</w:t>
            </w:r>
          </w:p>
        </w:tc>
        <w:tc>
          <w:tcPr/>
          <w:p>
            <w:pPr>
              <w:pStyle w:val="Compact"/>
            </w:pPr>
          </w:p>
        </w:tc>
        <w:tc>
          <w:tcPr/>
          <w:p>
            <w:pPr>
              <w:pStyle w:val="Compact"/>
            </w:pPr>
          </w:p>
        </w:tc>
      </w:tr>
    </w:tbl>
    <w:bookmarkEnd w:id="64"/>
    <w:bookmarkStart w:id="65" w:name="per-pixel-metadata"/>
    <w:p>
      <w:pPr>
        <w:pStyle w:val="berschrift3"/>
      </w:pPr>
      <w:r>
        <w:t xml:space="preserve">Per-Pixel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pxl.example</w:t>
            </w:r>
          </w:p>
        </w:tc>
        <w:tc>
          <w:tcPr/>
          <w:p>
            <w:pPr>
              <w:pStyle w:val="Compact"/>
            </w:pPr>
            <w:r>
              <w:t xml:space="preserve">Example Requirement</w:t>
            </w:r>
          </w:p>
        </w:tc>
        <w:tc>
          <w:tcPr/>
          <w:p>
            <w:pPr>
              <w:pStyle w:val="Compact"/>
            </w:pPr>
          </w:p>
        </w:tc>
        <w:tc>
          <w:tcPr/>
          <w:p>
            <w:pPr>
              <w:pStyle w:val="Compact"/>
            </w:pPr>
          </w:p>
        </w:tc>
      </w:tr>
    </w:tbl>
    <w:bookmarkEnd w:id="65"/>
    <w:bookmarkStart w:id="66" w:name="radiometric-and-atmospheric-corrections"/>
    <w:p>
      <w:pPr>
        <w:pStyle w:val="berschrift3"/>
      </w:pPr>
      <w:r>
        <w:t xml:space="preserve">Radiometric and Atmospheric Corrections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rac.measurements-uncertainty</w:t>
            </w:r>
          </w:p>
        </w:tc>
        <w:tc>
          <w:tcPr/>
          <w:p>
            <w:pPr>
              <w:pStyle w:val="Compact"/>
            </w:pPr>
            <w:r>
              <w:t xml:space="preserve">Measurement Uncertainty</w:t>
            </w:r>
          </w:p>
        </w:tc>
        <w:tc>
          <w:tcPr/>
          <w:p>
            <w:pPr>
              <w:pStyle w:val="Compact"/>
              <w:jc w:val="center"/>
            </w:pPr>
            <w:r>
              <w:rPr>
                <w:i/>
                <w:iCs/>
              </w:rPr>
              <w:t xml:space="preserve">not required</w:t>
            </w:r>
          </w:p>
        </w:tc>
        <w:tc>
          <w:tcPr/>
          <w:p>
            <w:pPr>
              <w:pStyle w:val="Compact"/>
            </w:pPr>
          </w:p>
        </w:tc>
      </w:tr>
    </w:tbl>
    <w:bookmarkEnd w:id="66"/>
    <w:bookmarkStart w:id="67"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gcor.example</w:t>
            </w:r>
          </w:p>
        </w:tc>
        <w:tc>
          <w:tcPr/>
          <w:p>
            <w:pPr>
              <w:pStyle w:val="Compact"/>
            </w:pPr>
            <w:r>
              <w:t xml:space="preserve">Example Requirement</w:t>
            </w:r>
          </w:p>
        </w:tc>
        <w:tc>
          <w:tcPr/>
          <w:p>
            <w:pPr>
              <w:pStyle w:val="Compact"/>
            </w:pPr>
          </w:p>
        </w:tc>
        <w:tc>
          <w:tcPr/>
          <w:p>
            <w:pPr>
              <w:pStyle w:val="Compact"/>
            </w:pPr>
          </w:p>
        </w:tc>
      </w:tr>
    </w:tbl>
    <w:p>
      <w:r>
        <w:br w:type="page"/>
      </w:r>
    </w:p>
    <w:bookmarkEnd w:id="67"/>
    <w:bookmarkEnd w:id="68"/>
    <w:bookmarkStart w:id="73"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69"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69"/>
    <w:bookmarkStart w:id="71"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14"/>
        </w:numPr>
      </w:pPr>
      <w:r>
        <w:t xml:space="preserve">that product has been assessed as meeting CEOS-ARD requirements by the agency responsible for production and distribution of the product, and</w:t>
      </w:r>
    </w:p>
    <w:p>
      <w:pPr>
        <w:pStyle w:val="Compact"/>
        <w:numPr>
          <w:ilvl w:val="0"/>
          <w:numId w:val="1014"/>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70">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71"/>
    <w:bookmarkStart w:id="72"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w:t>
      </w:r>
      <w:r>
        <w:t xml:space="preserve"> </w:t>
      </w:r>
      <w:r>
        <w:t xml:space="preserve">“Target”</w:t>
      </w:r>
      <w:r>
        <w:t xml:space="preserve">)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72"/>
    <w:bookmarkEnd w:id="73"/>
    <w:bookmarkStart w:id="84" w:name="references"/>
    <w:p>
      <w:pPr>
        <w:pStyle w:val="berschrift2"/>
      </w:pPr>
      <w:r>
        <w:t xml:space="preserve">References</w:t>
      </w:r>
    </w:p>
    <w:bookmarkStart w:id="83" w:name="refs"/>
    <w:bookmarkStart w:id="74" w:name="ref-iso19115_2_2009"/>
    <w:p>
      <w:pPr>
        <w:pStyle w:val="Literaturverzeichnis"/>
      </w:pPr>
      <w:r>
        <w:t xml:space="preserve">International Organization for Standardization. 2009.</w:t>
      </w:r>
      <w:r>
        <w:t xml:space="preserve"> </w:t>
      </w:r>
      <w:r>
        <w:t xml:space="preserve">“</w:t>
      </w:r>
      <w:r>
        <w:t xml:space="preserve">Geographic information — Metadata — Part 2: Extensions for imagery and gridded data</w:t>
      </w:r>
      <w:r>
        <w:t xml:space="preserve">.”</w:t>
      </w:r>
      <w:r>
        <w:t xml:space="preserve"> </w:t>
      </w:r>
      <w:r>
        <w:t xml:space="preserve">Standard. Geneva, CH: International Organization for Standardization.</w:t>
      </w:r>
    </w:p>
    <w:bookmarkEnd w:id="74"/>
    <w:bookmarkStart w:id="76" w:name="ref-mills2014"/>
    <w:p>
      <w:pPr>
        <w:pStyle w:val="Literaturverzeichnis"/>
      </w:pPr>
      <w:r>
        <w:t xml:space="preserve">Mills, Stephen, and Steven Miller. 2014.</w:t>
      </w:r>
      <w:r>
        <w:t xml:space="preserve"> </w:t>
      </w:r>
      <w:r>
        <w:t xml:space="preserve">“VIIRS Day-Night Band (DNB) Calibration Methods for Improved Uniformity.”</w:t>
      </w:r>
      <w:r>
        <w:t xml:space="preserve"> </w:t>
      </w:r>
      <w:r>
        <w:rPr>
          <w:i/>
          <w:iCs/>
        </w:rPr>
        <w:t xml:space="preserve">Proceedings of SPIE - The International Society for Optical Engineering</w:t>
      </w:r>
      <w:r>
        <w:t xml:space="preserve"> </w:t>
      </w:r>
      <w:r>
        <w:t xml:space="preserve">9218 (October): 921809.</w:t>
      </w:r>
      <w:r>
        <w:t xml:space="preserve"> </w:t>
      </w:r>
      <w:hyperlink r:id="rId75">
        <w:r>
          <w:rPr>
            <w:rStyle w:val="Hyperlink"/>
          </w:rPr>
          <w:t xml:space="preserve">https://doi.org/10.1117/12.2060143</w:t>
        </w:r>
      </w:hyperlink>
      <w:r>
        <w:t xml:space="preserve">.</w:t>
      </w:r>
    </w:p>
    <w:bookmarkEnd w:id="76"/>
    <w:bookmarkStart w:id="78" w:name="ref-roman2018"/>
    <w:p>
      <w:pPr>
        <w:pStyle w:val="Literaturverzeichnis"/>
      </w:pPr>
      <w:r>
        <w:t xml:space="preserve">Román, Miguel O., Zhuosen Wang, Qingsong Sun, Virginia Kalb, Steven D. Miller, Andrew Molthan, Lori Schultz, et al. 2018.</w:t>
      </w:r>
      <w:r>
        <w:t xml:space="preserve"> </w:t>
      </w:r>
      <w:r>
        <w:t xml:space="preserve">“NASA’s Black Marble Nighttime Lights Product Suite.”</w:t>
      </w:r>
      <w:r>
        <w:t xml:space="preserve"> </w:t>
      </w:r>
      <w:r>
        <w:rPr>
          <w:i/>
          <w:iCs/>
        </w:rPr>
        <w:t xml:space="preserve">Remote Sensing of Environment</w:t>
      </w:r>
      <w:r>
        <w:t xml:space="preserve"> </w:t>
      </w:r>
      <w:r>
        <w:t xml:space="preserve">210: 113–43. https://doi.org/</w:t>
      </w:r>
      <w:hyperlink r:id="rId77">
        <w:r>
          <w:rPr>
            <w:rStyle w:val="Hyperlink"/>
          </w:rPr>
          <w:t xml:space="preserve">https://doi.org/10.1016/j.rse.2018.03.017</w:t>
        </w:r>
      </w:hyperlink>
      <w:r>
        <w:t xml:space="preserve">.</w:t>
      </w:r>
    </w:p>
    <w:bookmarkEnd w:id="78"/>
    <w:bookmarkStart w:id="80" w:name="ref-ryan2019"/>
    <w:p>
      <w:pPr>
        <w:pStyle w:val="Literaturverzeichnis"/>
      </w:pPr>
      <w:r>
        <w:t xml:space="preserve">Ryan, Robert E., Mary Pagnutti, Kara Burch, Larry Leigh, Timothy Ruggles, Changyong Cao, David Aaron, Slawomir Blonski, and Dennis Helder. 2019.</w:t>
      </w:r>
      <w:r>
        <w:t xml:space="preserve"> </w:t>
      </w:r>
      <w:r>
        <w:t xml:space="preserve">“The Terra Vega Active Light Source: A First Step in a New Approach to Perform Nighttime Absolute Radiometric Calibrations and Early Results Calibrating the VIIRS DNB.”</w:t>
      </w:r>
      <w:r>
        <w:t xml:space="preserve"> </w:t>
      </w:r>
      <w:r>
        <w:rPr>
          <w:i/>
          <w:iCs/>
        </w:rPr>
        <w:t xml:space="preserve">Remote Sensing</w:t>
      </w:r>
      <w:r>
        <w:t xml:space="preserve"> </w:t>
      </w:r>
      <w:r>
        <w:t xml:space="preserve">11 (6).</w:t>
      </w:r>
      <w:r>
        <w:t xml:space="preserve"> </w:t>
      </w:r>
      <w:hyperlink r:id="rId79">
        <w:r>
          <w:rPr>
            <w:rStyle w:val="Hyperlink"/>
          </w:rPr>
          <w:t xml:space="preserve">https://doi.org/10.3390/rs11060710</w:t>
        </w:r>
      </w:hyperlink>
      <w:r>
        <w:t xml:space="preserve">.</w:t>
      </w:r>
    </w:p>
    <w:bookmarkEnd w:id="80"/>
    <w:bookmarkStart w:id="82" w:name="ref-wang2021"/>
    <w:p>
      <w:pPr>
        <w:pStyle w:val="Literaturverzeichnis"/>
      </w:pPr>
      <w:r>
        <w:t xml:space="preserve">Wang, Zhuosen, Miguel O. Román, Virginia L. Kalb, Steven D. Miller, Jianglong Zhang, and Ranjay M. Shrestha. 2021.</w:t>
      </w:r>
      <w:r>
        <w:t xml:space="preserve"> </w:t>
      </w:r>
      <w:r>
        <w:t xml:space="preserve">“Quantifying Uncertainties in Nighttime Light Retrievals from Suomi-NPP and NOAA-20 VIIRS Day/Night Band Data.”</w:t>
      </w:r>
      <w:r>
        <w:t xml:space="preserve"> </w:t>
      </w:r>
      <w:r>
        <w:rPr>
          <w:i/>
          <w:iCs/>
        </w:rPr>
        <w:t xml:space="preserve">Remote Sensing of Environment</w:t>
      </w:r>
      <w:r>
        <w:t xml:space="preserve"> </w:t>
      </w:r>
      <w:r>
        <w:t xml:space="preserve">263: 112557. https://doi.org/</w:t>
      </w:r>
      <w:hyperlink r:id="rId81">
        <w:r>
          <w:rPr>
            <w:rStyle w:val="Hyperlink"/>
          </w:rPr>
          <w:t xml:space="preserve">https://doi.org/10.1016/j.rse.2021.112557</w:t>
        </w:r>
      </w:hyperlink>
      <w:r>
        <w:t xml:space="preserve">.</w:t>
      </w:r>
    </w:p>
    <w:bookmarkEnd w:id="82"/>
    <w:bookmarkEnd w:id="83"/>
    <w:bookmarkEnd w:id="84"/>
    <w:bookmarkEnd w:id="85"/>
    <w:sectPr w:rsidR="00B92216" w:rsidSect="00676A71">
      <w:headerReference r:id="rId11" w:type="even"/>
      <w:headerReference r:id="rId10" w:type="default"/>
      <w:footerReference r:id="rId13" w:type="even"/>
      <w:footerReference r:id="rId12" w:type="default"/>
      <w:headerReference r:id="rId9"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20" Target="media/rId20.png" /><Relationship Type="http://schemas.openxmlformats.org/officeDocument/2006/relationships/hyperlink" Id="rId70" Target="https://ceos.org/ard/files/CEOS_ARD_Governance_Framework_18-October-2021.pdf" TargetMode="External" /><Relationship Type="http://schemas.openxmlformats.org/officeDocument/2006/relationships/hyperlink" Id="rId77" Target="https://doi.org/10.1016/j.rse.2018.03.017" TargetMode="External" /><Relationship Type="http://schemas.openxmlformats.org/officeDocument/2006/relationships/hyperlink" Id="rId81" Target="https://doi.org/10.1016/j.rse.2021.112557" TargetMode="External" /><Relationship Type="http://schemas.openxmlformats.org/officeDocument/2006/relationships/hyperlink" Id="rId75" Target="https://doi.org/10.1117/12.2060143" TargetMode="External" /><Relationship Type="http://schemas.openxmlformats.org/officeDocument/2006/relationships/hyperlink" Id="rId79" Target="https://doi.org/10.3390/rs11060710" TargetMode="External" /><Relationship Type="http://schemas.openxmlformats.org/officeDocument/2006/relationships/hyperlink" Id="rId23"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70" Target="https://ceos.org/ard/files/CEOS_ARD_Governance_Framework_18-October-2021.pdf" TargetMode="External" /><Relationship Type="http://schemas.openxmlformats.org/officeDocument/2006/relationships/hyperlink" Id="rId77" Target="https://doi.org/10.1016/j.rse.2018.03.017" TargetMode="External" /><Relationship Type="http://schemas.openxmlformats.org/officeDocument/2006/relationships/hyperlink" Id="rId81" Target="https://doi.org/10.1016/j.rse.2021.112557" TargetMode="External" /><Relationship Type="http://schemas.openxmlformats.org/officeDocument/2006/relationships/hyperlink" Id="rId75" Target="https://doi.org/10.1117/12.2060143" TargetMode="External" /><Relationship Type="http://schemas.openxmlformats.org/officeDocument/2006/relationships/hyperlink" Id="rId79" Target="https://doi.org/10.3390/rs11060710" TargetMode="External" /><Relationship Type="http://schemas.openxmlformats.org/officeDocument/2006/relationships/hyperlink" Id="rId23"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Optical - Nighttime Light Surface Radiance - Version 1.1-draft</dc:title>
  <dc:creator/>
  <dc:language>en</dc:language>
  <cp:keywords/>
  <dcterms:created xsi:type="dcterms:W3CDTF">2025-10-22T21:31:52Z</dcterms:created>
  <dcterms:modified xsi:type="dcterms:W3CDTF">2025-10-22T21:31:52Z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/home/runner/work/ceos-ard/ceos-ard/build/NLSR.bib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ocite">
    <vt:lpwstr>@*</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