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Override PartName="/word/media/rId311.jpg" ContentType="image/jpeg"/>
  <Override PartName="/word/media/rId307.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317" w:name="X585353d8aec71e32101508c22c1e4e52b36bb22"/>
    <w:p>
      <w:pPr>
        <w:pStyle w:val="berschrift1"/>
      </w:pPr>
      <w:r>
        <w:t xml:space="preserve">CEOS-ARD - Synthetic Aperture Radar - Polarimetric Radar</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Synthetic Aperture Radar, Polarimetric Radar</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François Charbonneau, Natural Resources Canada, Canada</w:t>
      </w:r>
    </w:p>
    <w:p>
      <w:pPr>
        <w:pStyle w:val="Compact"/>
        <w:numPr>
          <w:ilvl w:val="0"/>
          <w:numId w:val="1001"/>
        </w:numPr>
      </w:pPr>
      <w:r>
        <w:t xml:space="preserve">Ake Rosenqvist, soloEO / Japan Aerospace Exploration Agency (JAXA), Japan</w:t>
      </w:r>
    </w:p>
    <w:p>
      <w:pPr>
        <w:pStyle w:val="Compact"/>
        <w:numPr>
          <w:ilvl w:val="0"/>
          <w:numId w:val="1001"/>
        </w:numPr>
      </w:pPr>
      <w:r>
        <w:t xml:space="preserve">John Truckenbrodt, German Aerospace Centre (DLR), Germany</w:t>
      </w:r>
    </w:p>
    <w:p>
      <w:pPr>
        <w:pStyle w:val="Compact"/>
        <w:numPr>
          <w:ilvl w:val="0"/>
          <w:numId w:val="1001"/>
        </w:numPr>
      </w:pPr>
      <w:r>
        <w:t xml:space="preserve">Clément Albinet, European Space Agency (ESA), Italy</w:t>
      </w:r>
    </w:p>
    <w:p>
      <w:pPr>
        <w:pStyle w:val="Compact"/>
        <w:numPr>
          <w:ilvl w:val="0"/>
          <w:numId w:val="1001"/>
        </w:numPr>
      </w:pPr>
      <w:r>
        <w:t xml:space="preserve">David Small, University of Zurich, Switzerland</w:t>
      </w:r>
    </w:p>
    <w:p>
      <w:pPr>
        <w:pStyle w:val="Compact"/>
        <w:numPr>
          <w:ilvl w:val="0"/>
          <w:numId w:val="1001"/>
        </w:numPr>
      </w:pPr>
      <w:r>
        <w:t xml:space="preserve">Bruce Chapman, Jet Propulsion Laboratory, USA</w:t>
      </w:r>
    </w:p>
    <w:p>
      <w:pPr>
        <w:pStyle w:val="Compact"/>
        <w:numPr>
          <w:ilvl w:val="0"/>
          <w:numId w:val="1001"/>
        </w:numPr>
      </w:pPr>
      <w:r>
        <w:t xml:space="preserve">Howard Zebker, Stanford University, USA</w:t>
      </w:r>
    </w:p>
    <w:p>
      <w:pPr>
        <w:pStyle w:val="Compact"/>
        <w:numPr>
          <w:ilvl w:val="0"/>
          <w:numId w:val="1001"/>
        </w:numPr>
      </w:pPr>
      <w:r>
        <w:t xml:space="preserve">Zheng-Shu Zhou, CSIRO, Australia</w:t>
      </w:r>
    </w:p>
    <w:p>
      <w:pPr>
        <w:pStyle w:val="Compact"/>
        <w:numPr>
          <w:ilvl w:val="0"/>
          <w:numId w:val="1001"/>
        </w:numPr>
      </w:pPr>
      <w:r>
        <w:t xml:space="preserve">Virginia Brancato, Jet Propulsion Laboratory, USA</w:t>
      </w:r>
    </w:p>
    <w:p>
      <w:pPr>
        <w:pStyle w:val="Compact"/>
        <w:numPr>
          <w:ilvl w:val="0"/>
          <w:numId w:val="1001"/>
        </w:numPr>
      </w:pPr>
      <w:r>
        <w:t xml:space="preserve">Danilo Dadamia, CONAE, Argentina</w:t>
      </w:r>
    </w:p>
    <w:p>
      <w:pPr>
        <w:pStyle w:val="Compact"/>
        <w:numPr>
          <w:ilvl w:val="0"/>
          <w:numId w:val="1001"/>
        </w:numPr>
      </w:pPr>
      <w:r>
        <w:t xml:space="preserve">Benjamin Deschamps, Environment and Climate Change, Canada</w:t>
      </w:r>
    </w:p>
    <w:p>
      <w:pPr>
        <w:pStyle w:val="Compact"/>
        <w:numPr>
          <w:ilvl w:val="0"/>
          <w:numId w:val="1001"/>
        </w:numPr>
      </w:pPr>
      <w:r>
        <w:t xml:space="preserve">Guillaume Hajduch, Collecte Localisation Satellites, France</w:t>
      </w:r>
    </w:p>
    <w:p>
      <w:pPr>
        <w:pStyle w:val="Compact"/>
        <w:numPr>
          <w:ilvl w:val="0"/>
          <w:numId w:val="1001"/>
        </w:numPr>
      </w:pPr>
      <w:r>
        <w:t xml:space="preserve">Josef Kellndorfer, Earth Big Data, USA</w:t>
      </w:r>
    </w:p>
    <w:p>
      <w:pPr>
        <w:pStyle w:val="Compact"/>
        <w:numPr>
          <w:ilvl w:val="0"/>
          <w:numId w:val="1001"/>
        </w:numPr>
      </w:pPr>
      <w:r>
        <w:t xml:space="preserve">Marco Lavalle, Jet Propulsion Laboratory, USA</w:t>
      </w:r>
    </w:p>
    <w:p>
      <w:pPr>
        <w:pStyle w:val="Compact"/>
        <w:numPr>
          <w:ilvl w:val="0"/>
          <w:numId w:val="1001"/>
        </w:numPr>
      </w:pPr>
      <w:r>
        <w:t xml:space="preserve">Adam Lewis, Geoscience Australia, Australia</w:t>
      </w:r>
    </w:p>
    <w:p>
      <w:pPr>
        <w:pStyle w:val="Compact"/>
        <w:numPr>
          <w:ilvl w:val="0"/>
          <w:numId w:val="1001"/>
        </w:numPr>
      </w:pPr>
      <w:r>
        <w:t xml:space="preserve">Thomas Logan, Alaska Satellite Facility, USA</w:t>
      </w:r>
    </w:p>
    <w:p>
      <w:pPr>
        <w:pStyle w:val="Compact"/>
        <w:numPr>
          <w:ilvl w:val="0"/>
          <w:numId w:val="1001"/>
        </w:numPr>
      </w:pPr>
      <w:r>
        <w:t xml:space="preserve">Franz Meyer, Alaska Satellite Facility, USA</w:t>
      </w:r>
    </w:p>
    <w:p>
      <w:pPr>
        <w:pStyle w:val="Compact"/>
        <w:numPr>
          <w:ilvl w:val="0"/>
          <w:numId w:val="1001"/>
        </w:numPr>
      </w:pPr>
      <w:r>
        <w:t xml:space="preserve">Nuno Miranda, European Space Agency (ESA), Italy</w:t>
      </w:r>
    </w:p>
    <w:p>
      <w:pPr>
        <w:pStyle w:val="Compact"/>
        <w:numPr>
          <w:ilvl w:val="0"/>
          <w:numId w:val="1001"/>
        </w:numPr>
      </w:pPr>
      <w:r>
        <w:t xml:space="preserve">Muriel Pinheiro, European Space Agency (ESA), Italy</w:t>
      </w:r>
    </w:p>
    <w:p>
      <w:pPr>
        <w:pStyle w:val="Compact"/>
        <w:numPr>
          <w:ilvl w:val="0"/>
          <w:numId w:val="1001"/>
        </w:numPr>
      </w:pPr>
      <w:r>
        <w:t xml:space="preserve">Marko Repse, Sinergise, Slovenia</w:t>
      </w:r>
    </w:p>
    <w:p>
      <w:pPr>
        <w:pStyle w:val="Compact"/>
        <w:numPr>
          <w:ilvl w:val="0"/>
          <w:numId w:val="1001"/>
        </w:numPr>
      </w:pPr>
      <w:r>
        <w:t xml:space="preserve">HariPriya Sakethapuram, ISRO, India</w:t>
      </w:r>
    </w:p>
    <w:p>
      <w:pPr>
        <w:pStyle w:val="Compact"/>
        <w:numPr>
          <w:ilvl w:val="0"/>
          <w:numId w:val="1001"/>
        </w:numPr>
      </w:pPr>
      <w:r>
        <w:t xml:space="preserve">Andreia Siqueira, Geoscience Australia, Australia</w:t>
      </w:r>
    </w:p>
    <w:p>
      <w:pPr>
        <w:pStyle w:val="Compact"/>
        <w:numPr>
          <w:ilvl w:val="0"/>
          <w:numId w:val="1001"/>
        </w:numPr>
      </w:pPr>
      <w:r>
        <w:t xml:space="preserve">Gustavo Shiroma, Jet Propulsion Laboratory, USA</w:t>
      </w:r>
    </w:p>
    <w:p>
      <w:pPr>
        <w:pStyle w:val="Compact"/>
        <w:numPr>
          <w:ilvl w:val="0"/>
          <w:numId w:val="1001"/>
        </w:numPr>
      </w:pPr>
      <w:r>
        <w:t xml:space="preserve">Takeo Tadono, Japan Aerospace Exploration Agency, Japan</w:t>
      </w:r>
    </w:p>
    <w:p>
      <w:pPr>
        <w:pStyle w:val="Compact"/>
        <w:numPr>
          <w:ilvl w:val="0"/>
          <w:numId w:val="1001"/>
        </w:numPr>
      </w:pPr>
      <w:r>
        <w:t xml:space="preserve">Medhavy Thankappan, Geoscience Australia, Australia</w:t>
      </w:r>
    </w:p>
    <w:p>
      <w:pPr>
        <w:pStyle w:val="Compact"/>
        <w:numPr>
          <w:ilvl w:val="0"/>
          <w:numId w:val="1001"/>
        </w:numPr>
      </w:pPr>
      <w:r>
        <w:t xml:space="preserve">Antonio Valentino, RHEA for European Space Agency (ESA), Italy</w:t>
      </w:r>
    </w:p>
    <w:p>
      <w:pPr>
        <w:pStyle w:val="Compact"/>
        <w:numPr>
          <w:ilvl w:val="0"/>
          <w:numId w:val="1001"/>
        </w:numPr>
      </w:pPr>
      <w:r>
        <w:t xml:space="preserve">Anna Wendleder, German Aerospace Centre (DLR), Germany</w:t>
      </w:r>
    </w:p>
    <w:p>
      <w:pPr>
        <w:pStyle w:val="Compact"/>
        <w:numPr>
          <w:ilvl w:val="0"/>
          <w:numId w:val="1001"/>
        </w:numPr>
      </w:pPr>
      <w:r>
        <w:t xml:space="preserve">Fang Yuan, Digital Earth Africa, Australia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Synthetic Aperture Radar, Polarimetric Radar (SAR-POL)</w:t>
      </w:r>
    </w:p>
    <w:p>
      <w:pPr>
        <w:pStyle w:val="Textkrper"/>
      </w:pPr>
      <w:r>
        <w:rPr>
          <w:b/>
          <w:bCs/>
        </w:rPr>
        <w:t xml:space="preserve">Version:</w:t>
      </w:r>
      <w:r>
        <w:t xml:space="preserve"> </w:t>
      </w:r>
      <w:r>
        <w:t xml:space="preserve">1.2-draft</w:t>
      </w:r>
    </w:p>
    <w:p>
      <w:pPr>
        <w:pStyle w:val="Textkrper"/>
      </w:pPr>
      <w:r>
        <w:rPr>
          <w:b/>
          <w:bCs/>
        </w:rPr>
        <w:t xml:space="preserve">Applies to:</w:t>
      </w:r>
      <w:r>
        <w:t xml:space="preserve"> </w:t>
      </w:r>
      <w:r>
        <w:t xml:space="preserve">Data collected by Synthetic Aperture Radar sensors</w:t>
      </w:r>
    </w:p>
    <w:bookmarkEnd w:id="28"/>
    <w:bookmarkStart w:id="30" w:name="background"/>
    <w:p>
      <w:pPr>
        <w:pStyle w:val="berschrift2"/>
      </w:pPr>
      <w:r>
        <w:t xml:space="preserve">Background</w:t>
      </w:r>
    </w:p>
    <w:p>
      <w:pPr>
        <w:pStyle w:val="FirstParagraph"/>
      </w:pPr>
      <w:r>
        <w:t xml:space="preserve">This PFS is specifically aimed at users interested in exploring the potential of SAR but who may lack the expertise or facilities for SAR processing.</w:t>
      </w:r>
    </w:p>
    <w:p>
      <w:pPr>
        <w:pStyle w:val="Textkrper"/>
      </w:pPr>
      <w:r>
        <w:t xml:space="preserve">The CEOS-ARD Polarimetric Radar (POL) product format is an extension of the CEOS-ARD Normalised Radar Backscatter (NRB) format.</w:t>
      </w:r>
      <w:r>
        <w:t xml:space="preserve"> </w:t>
      </w:r>
      <w:r>
        <w:t xml:space="preserve">This extension is required in order to better support Level-1 SLC polarimetric data, including full-polarimetric modes (e.g., RADARSAT-2, ALOS-2/4, SAOCOM-1 and future missions), and hybrid or linear dual-polarimetric modes (i.e., Compact Polarimetric mode available on RCM, SAOCOM and the upcoming NISAR mission).The POL product can be defined in two processing levels:</w:t>
      </w:r>
    </w:p>
    <w:p>
      <w:pPr>
        <w:pStyle w:val="Textkrper"/>
      </w:pPr>
      <w:r>
        <w:t xml:space="preserve">The</w:t>
      </w:r>
      <w:r>
        <w:t xml:space="preserve"> </w:t>
      </w:r>
      <w:r>
        <w:rPr>
          <w:b/>
          <w:bCs/>
        </w:rPr>
        <w:t xml:space="preserve">normalised covariance matrix (CovMat)</w:t>
      </w:r>
      <w:r>
        <w:t xml:space="preserve"> </w:t>
      </w:r>
      <w:r>
        <w:t xml:space="preserve">representation (C2 or C3) which preserves the inter-channel polarimetric phase(s) and maximizes the available information for users.</w:t>
      </w:r>
      <w:r>
        <w:t xml:space="preserve"> </w:t>
      </w:r>
      <w:r>
        <w:t xml:space="preserve">Interoperability within current CEOS-ARD SAR backscatter definition is preserved, since diagonal elements of the covariance matrix are backscatter intensities.</w:t>
      </w:r>
      <w:r>
        <w:t xml:space="preserve"> </w:t>
      </w:r>
      <w:r>
        <w:t xml:space="preserve">Scattering information enhancement can be achieved by applying incoherent polarimetric decomposition techniques (e.g., Freeman-Durden, van Zyl, Cloude-Pottier, Yamaguchi-based) directly on the C2 or C3 matrix.</w:t>
      </w:r>
    </w:p>
    <w:p>
      <w:pPr>
        <w:pStyle w:val="Textkrper"/>
      </w:pPr>
      <w:r>
        <w:rPr>
          <w:b/>
          <w:bCs/>
        </w:rPr>
        <w:t xml:space="preserve">Polarimetric Radar Decomposition (PRD)</w:t>
      </w:r>
      <w:r>
        <w:t xml:space="preserve"> </w:t>
      </w:r>
      <w:r>
        <w:t xml:space="preserve">refers to ARD products where polarimetric information is broken down into simplified parameters to facilitate user interpretation of the data.</w:t>
      </w:r>
      <w:r>
        <w:t xml:space="preserve"> </w:t>
      </w:r>
      <w:r>
        <w:t xml:space="preserve">They are derived from coherent or incoherent polarimetric decomposition techniques.</w:t>
      </w:r>
    </w:p>
    <w:bookmarkStart w:id="29" w:name="notice-and-limitations"/>
    <w:p>
      <w:pPr>
        <w:pStyle w:val="berschrift3"/>
      </w:pPr>
      <w:r>
        <w:t xml:space="preserve">Notice and Limitations</w:t>
      </w:r>
    </w:p>
    <w:p>
      <w:pPr>
        <w:pStyle w:val="FirstParagraph"/>
      </w:pPr>
      <w:r>
        <w:t xml:space="preserve">For Polarimetric Radar (POL) products, optimal incoherent Polarimetric Radar Decomposition (PRD) should be performed under the slant range projection</w:t>
      </w:r>
      <w:r>
        <w:t xml:space="preserve"> </w:t>
      </w:r>
      <w:r>
        <w:t xml:space="preserve">(</w:t>
      </w:r>
      <w:hyperlink w:anchor="ref-gens2013">
        <w:r>
          <w:rPr>
            <w:rStyle w:val="Hyperlink"/>
          </w:rPr>
          <w:t xml:space="preserve">Gens, Atwood, and Pottier 2013</w:t>
        </w:r>
      </w:hyperlink>
      <w:r>
        <w:t xml:space="preserve">;</w:t>
      </w:r>
      <w:r>
        <w:t xml:space="preserve"> </w:t>
      </w:r>
      <w:hyperlink w:anchor="ref-toutin2013">
        <w:r>
          <w:rPr>
            <w:rStyle w:val="Hyperlink"/>
          </w:rPr>
          <w:t xml:space="preserve">Toutin et al. 2013</w:t>
        </w:r>
      </w:hyperlink>
      <w:r>
        <w:t xml:space="preserve">)</w:t>
      </w:r>
      <w:r>
        <w:t xml:space="preserve">.</w:t>
      </w:r>
      <w:r>
        <w:t xml:space="preserve"> </w:t>
      </w:r>
      <w:r>
        <w:t xml:space="preserve">In order to minimise bias in the CEOS-ARD SAR Level-2A covariance matrix product, speckle filtering and averaging of the covariance matrix should be applied in the slant range projection, and geocoding should be performed using nearest-neighbour resampling.</w:t>
      </w:r>
      <w:r>
        <w:t xml:space="preserve"> </w:t>
      </w:r>
      <w:r>
        <w:t xml:space="preserve">Specifically, nearest-neighbour resampling ensures that the averaged covariance matrix elements in slant range and in geocoded ground projection are exactly the same.</w:t>
      </w:r>
      <w:r>
        <w:t xml:space="preserve"> </w:t>
      </w:r>
      <w:r>
        <w:t xml:space="preserve">Consequently, the polarimetrically derived parameters are exactly equal in both approaches (assuming that no further averaging is performed on the ARD product for decomposing the polarimetric information).</w:t>
      </w:r>
      <w:r>
        <w:t xml:space="preserve"> </w:t>
      </w:r>
      <w:r>
        <w:t xml:space="preserve">Bilinear and average resampling methods are also suitable for resampling the covariance matrix, but some differences with polarimetric parameters generated in slant range and then resampled (bilinear) might be observed on sloped terrains.</w:t>
      </w:r>
      <w:r>
        <w:t xml:space="preserve"> </w:t>
      </w:r>
      <w:r>
        <w:t xml:space="preserve">Even if Sinc interpolation may be more robust for spatial resampling, it does not preserve covariance matrix integrity, and should consequently not be used for this ARD product.</w:t>
      </w:r>
    </w:p>
    <w:p>
      <w:pPr>
        <w:pStyle w:val="Textkrper"/>
      </w:pPr>
      <w:r>
        <w:t xml:space="preserve">It is recommended that ARD providers who desire to distribute PRD products decompose the polarimetric information starting from Level-1 SLC data and then geocode the derived parameters rather than use the CovMat ARD product.</w:t>
      </w:r>
      <w:r>
        <w:t xml:space="preserve"> </w:t>
      </w:r>
      <w:r>
        <w:t xml:space="preserve">Resampling can be performed using any of the supported methods (nearest-neighbour, bilinear, average, bi-cubic spline or Lanczos are recommended), which need to be indicated in the product metadata.</w:t>
      </w:r>
      <w:r>
        <w:t xml:space="preserve"> </w:t>
      </w:r>
      <w:r>
        <w:t xml:space="preserve">Note that coherent decomposition techniques cannot be performed on CovMat ARD products.</w:t>
      </w:r>
    </w:p>
    <w:p>
      <w:pPr>
        <w:pStyle w:val="Textkrper"/>
      </w:pPr>
      <w:r>
        <w:t xml:space="preserve">Covariance matrix products contain a variable number of layers (or bands) with different data types depending on the polarimetric mode (full or dual) and decomposition technique.</w:t>
      </w:r>
      <w:r>
        <w:t xml:space="preserve"> </w:t>
      </w:r>
      <w:r>
        <w:t xml:space="preserve">The CovMat products for the C2 matrix have 3 layers (2 real-valued diagonal elements and 1 complex-valued off-diagonal element).</w:t>
      </w:r>
      <w:r>
        <w:t xml:space="preserve"> </w:t>
      </w:r>
      <w:r>
        <w:t xml:space="preserve">CovMat products for the C3 matrix have 6 layers (3 real-valued diagonal elements and 3 complex-valued off-diagonal elements).</w:t>
      </w:r>
      <w:r>
        <w:t xml:space="preserve"> </w:t>
      </w:r>
      <w:r>
        <w:t xml:space="preserve">Layers that can be obtained via a complex conjugation of other layers are not provided within the product.</w:t>
      </w:r>
      <w:r>
        <w:t xml:space="preserve"> </w:t>
      </w:r>
      <w:r>
        <w:t xml:space="preserve">Polarimetric Decomposition products contain typically 2 to 4 (or more) real-valued layers depending on the particular decomposition algorithm.</w:t>
      </w:r>
      <w:r>
        <w:t xml:space="preserve"> </w:t>
      </w:r>
      <w:r>
        <w:t xml:space="preserve">Within the CovMat product files, ARD layers are organized in order to reduce access delays and maximize efficiency in extracting the desired information.</w:t>
      </w:r>
      <w:r>
        <w:t xml:space="preserve"> </w:t>
      </w:r>
      <w:r>
        <w:t xml:space="preserve">In CovMat products, geographically contiguous samples for each layer may be stored next to each other and organized</w:t>
      </w:r>
      <w:r>
        <w:t xml:space="preserve"> </w:t>
      </w:r>
      <w:r>
        <w:t xml:space="preserve">“layer by layer”</w:t>
      </w:r>
      <w:r>
        <w:t xml:space="preserve">.</w:t>
      </w:r>
      <w:r>
        <w:t xml:space="preserve"> </w:t>
      </w:r>
      <w:r>
        <w:t xml:space="preserve">Alternatively, samples belonging to the same covariance matrix might be stored next to each other and organized</w:t>
      </w:r>
      <w:r>
        <w:t xml:space="preserve"> </w:t>
      </w:r>
      <w:r>
        <w:t xml:space="preserve">“matrix by matrix”</w:t>
      </w:r>
      <w:r>
        <w:t xml:space="preserve">.</w:t>
      </w:r>
      <w:r>
        <w:t xml:space="preserve"> </w:t>
      </w:r>
      <w:r>
        <w:t xml:space="preserve">PRD products are organized</w:t>
      </w:r>
      <w:r>
        <w:t xml:space="preserve"> </w:t>
      </w:r>
      <w:r>
        <w:t xml:space="preserve">“layer by layer”</w:t>
      </w:r>
      <w:r>
        <w:t xml:space="preserve">, i.e., with bands corresponding to the output of the polarimetric decomposition stored next to each other.</w:t>
      </w:r>
    </w:p>
    <w:p>
      <w:r>
        <w:br w:type="page"/>
      </w:r>
    </w:p>
    <w:bookmarkEnd w:id="29"/>
    <w:bookmarkEnd w:id="30"/>
    <w:bookmarkStart w:id="31" w:name="definitions-and-abbreviations"/>
    <w:p>
      <w:pPr>
        <w:pStyle w:val="berschrift2"/>
      </w:pPr>
      <w:r>
        <w:t xml:space="preserve">Definitions and Abbreviations</w:t>
      </w:r>
    </w:p>
    <w:p>
      <w:pPr>
        <w:pStyle w:val="DefinitionTerm"/>
      </w:pPr>
      <w:r>
        <w:t xml:space="preserve">ALE</w:t>
      </w:r>
    </w:p>
    <w:p>
      <w:pPr>
        <w:pStyle w:val="Definition"/>
      </w:pPr>
      <w:r>
        <w:t xml:space="preserve">Absolute Geolocation Error</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CovMat</w:t>
      </w:r>
    </w:p>
    <w:p>
      <w:pPr>
        <w:pStyle w:val="Definition"/>
      </w:pPr>
      <w:r>
        <w:t xml:space="preserve">Normalised Radar Covariance Matrix</w:t>
      </w:r>
    </w:p>
    <w:p>
      <w:pPr>
        <w:pStyle w:val="DefinitionTerm"/>
      </w:pPr>
      <w:r>
        <w:t xml:space="preserve">CRS</w:t>
      </w:r>
    </w:p>
    <w:p>
      <w:pPr>
        <w:pStyle w:val="Definition"/>
      </w:pPr>
      <w:r>
        <w:t xml:space="preserve">Coordinate Reference System</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DSM</w:t>
      </w:r>
    </w:p>
    <w:p>
      <w:pPr>
        <w:pStyle w:val="Definition"/>
      </w:pPr>
      <w:r>
        <w:t xml:space="preserve">Digital Surface Model</w:t>
      </w:r>
    </w:p>
    <w:p>
      <w:pPr>
        <w:pStyle w:val="DefinitionTerm"/>
      </w:pPr>
      <w:r>
        <w:t xml:space="preserve">EGM</w:t>
      </w:r>
    </w:p>
    <w:p>
      <w:pPr>
        <w:pStyle w:val="Definition"/>
      </w:pPr>
      <w:r>
        <w:t xml:space="preserve">Earth Gravitational Model</w:t>
      </w:r>
    </w:p>
    <w:p>
      <w:pPr>
        <w:pStyle w:val="DefinitionTerm"/>
      </w:pPr>
      <w:r>
        <w:t xml:space="preserve">ENL</w:t>
      </w:r>
    </w:p>
    <w:p>
      <w:pPr>
        <w:pStyle w:val="Definition"/>
      </w:pPr>
      <w:r>
        <w:t xml:space="preserve">Equivalent Number of Looks</w:t>
      </w:r>
    </w:p>
    <w:p>
      <w:pPr>
        <w:pStyle w:val="DefinitionTerm"/>
      </w:pPr>
      <w:r>
        <w:t xml:space="preserve">EPSG Code</w:t>
      </w:r>
    </w:p>
    <w:p>
      <w:pPr>
        <w:pStyle w:val="Definition"/>
      </w:pPr>
      <w:r>
        <w:t xml:space="preserve">An EPSG code is a unique identifier assigned to e.g. a specific coordinate reference system (CRS) by the European Petroleum Survey Group (EPSG).</w:t>
      </w:r>
    </w:p>
    <w:p>
      <w:pPr>
        <w:pStyle w:val="DefinitionTerm"/>
      </w:pPr>
      <w:r>
        <w:t xml:space="preserve">GSLC</w:t>
      </w:r>
    </w:p>
    <w:p>
      <w:pPr>
        <w:pStyle w:val="Definition"/>
      </w:pPr>
      <w:r>
        <w:t xml:space="preserve">Geocoded Single-Look Complex</w:t>
      </w:r>
    </w:p>
    <w:p>
      <w:pPr>
        <w:pStyle w:val="DefinitionTerm"/>
      </w:pPr>
      <w:r>
        <w:t xml:space="preserve">ISLR</w:t>
      </w:r>
    </w:p>
    <w:p>
      <w:pPr>
        <w:pStyle w:val="Definition"/>
      </w:pPr>
      <w:r>
        <w:t xml:space="preserve">Intensity Signal-to-Noise Level Ratio</w:t>
      </w:r>
    </w:p>
    <w:p>
      <w:pPr>
        <w:pStyle w:val="DefinitionTerm"/>
      </w:pPr>
      <w:r>
        <w:t xml:space="preserve">LUT</w:t>
      </w:r>
    </w:p>
    <w:p>
      <w:pPr>
        <w:pStyle w:val="Definition"/>
      </w:pPr>
      <w:r>
        <w:t xml:space="preserve">Look-Up Table</w:t>
      </w:r>
    </w:p>
    <w:p>
      <w:pPr>
        <w:pStyle w:val="DefinitionTerm"/>
      </w:pPr>
      <w:r>
        <w:t xml:space="preserve">Metadata</w:t>
      </w:r>
    </w:p>
    <w:p>
      <w:pPr>
        <w:pStyle w:val="Definition"/>
      </w:pPr>
      <w:r>
        <w:t xml:space="preserve">Structured information that describes other information or information services. With well-defined metadata, users should be able to get basic information about data, without the need to have knowledge about its entire content.</w:t>
      </w:r>
    </w:p>
    <w:p>
      <w:pPr>
        <w:pStyle w:val="DefinitionTerm"/>
      </w:pPr>
      <w:r>
        <w:t xml:space="preserve">NRB</w:t>
      </w:r>
    </w:p>
    <w:p>
      <w:pPr>
        <w:pStyle w:val="Definition"/>
      </w:pPr>
      <w:r>
        <w:t xml:space="preserve">Normalised Radar Backscatter</w:t>
      </w:r>
    </w:p>
    <w:p>
      <w:pPr>
        <w:pStyle w:val="DefinitionTerm"/>
      </w:pPr>
      <w:r>
        <w:t xml:space="preserve">ORB</w:t>
      </w:r>
    </w:p>
    <w:p>
      <w:pPr>
        <w:pStyle w:val="Definition"/>
      </w:pPr>
      <w:r>
        <w:t xml:space="preserve">Ocean Radar Backscatter</w:t>
      </w:r>
    </w:p>
    <w:p>
      <w:pPr>
        <w:pStyle w:val="DefinitionTerm"/>
      </w:pPr>
      <w:r>
        <w:t xml:space="preserve">POL</w:t>
      </w:r>
    </w:p>
    <w:p>
      <w:pPr>
        <w:pStyle w:val="Definition"/>
      </w:pPr>
      <w:r>
        <w:t xml:space="preserve">Polarimetric Radar</w:t>
      </w:r>
    </w:p>
    <w:p>
      <w:pPr>
        <w:pStyle w:val="DefinitionTerm"/>
      </w:pPr>
      <w:r>
        <w:t xml:space="preserve">PRD</w:t>
      </w:r>
    </w:p>
    <w:p>
      <w:pPr>
        <w:pStyle w:val="Definition"/>
      </w:pPr>
      <w:r>
        <w:t xml:space="preserve">Polarimetric Radar Decomposition</w:t>
      </w:r>
    </w:p>
    <w:p>
      <w:pPr>
        <w:pStyle w:val="DefinitionTerm"/>
      </w:pPr>
      <w:r>
        <w:t xml:space="preserve">PSLR</w:t>
      </w:r>
    </w:p>
    <w:p>
      <w:pPr>
        <w:pStyle w:val="Definition"/>
      </w:pPr>
      <w:r>
        <w:t xml:space="preserve">Polarimetric Signal-to-Noise Level Ratio</w:t>
      </w:r>
    </w:p>
    <w:p>
      <w:pPr>
        <w:pStyle w:val="DefinitionTerm"/>
      </w:pPr>
      <w:r>
        <w:t xml:space="preserve">rRMSE</w:t>
      </w:r>
    </w:p>
    <w:p>
      <w:pPr>
        <w:pStyle w:val="Definition"/>
      </w:pPr>
      <w:r>
        <w:t xml:space="preserve">Radial Root Mean Square Error</w:t>
      </w:r>
    </w:p>
    <w:p>
      <w:pPr>
        <w:pStyle w:val="DefinitionTerm"/>
      </w:pPr>
      <w:r>
        <w:t xml:space="preserve">RTC</w:t>
      </w:r>
    </w:p>
    <w:p>
      <w:pPr>
        <w:pStyle w:val="Definition"/>
      </w:pPr>
      <w:r>
        <w:t xml:space="preserve">Radiometrically Terrain Corrected</w:t>
      </w:r>
    </w:p>
    <w:p>
      <w:pPr>
        <w:pStyle w:val="DefinitionTerm"/>
      </w:pPr>
      <w:r>
        <w:t xml:space="preserve">SAR</w:t>
      </w:r>
    </w:p>
    <w:p>
      <w:pPr>
        <w:pStyle w:val="Definition"/>
      </w:pPr>
      <w:r>
        <w:t xml:space="preserve">Synthetic Aperture Radar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SLC</w:t>
      </w:r>
    </w:p>
    <w:p>
      <w:pPr>
        <w:pStyle w:val="Definition"/>
      </w:pPr>
      <w:r>
        <w:t xml:space="preserve">Single-Look Complex</w:t>
      </w:r>
    </w:p>
    <w:p>
      <w:pPr>
        <w:pStyle w:val="DefinitionTerm"/>
      </w:pPr>
      <w:r>
        <w:t xml:space="preserve">STAC</w:t>
      </w:r>
    </w:p>
    <w:p>
      <w:pPr>
        <w:pStyle w:val="Definition"/>
      </w:pPr>
      <w:r>
        <w:t xml:space="preserve">SpatioTemporal Asset Catalog</w:t>
      </w:r>
    </w:p>
    <w:p>
      <w:pPr>
        <w:pStyle w:val="DefinitionTerm"/>
      </w:pPr>
      <w:r>
        <w:t xml:space="preserve">UPS</w:t>
      </w:r>
    </w:p>
    <w:p>
      <w:pPr>
        <w:pStyle w:val="Definition"/>
      </w:pPr>
      <w:r>
        <w:t xml:space="preserve">Universal Polar Stereographic</w:t>
      </w:r>
    </w:p>
    <w:p>
      <w:pPr>
        <w:pStyle w:val="DefinitionTerm"/>
      </w:pPr>
      <w:r>
        <w:t xml:space="preserve">URL</w:t>
      </w:r>
    </w:p>
    <w:p>
      <w:pPr>
        <w:pStyle w:val="Definition"/>
      </w:pPr>
      <w:r>
        <w:t xml:space="preserve">Uniform Resource Locator, a reference to a web resource that specifies its location on a computer network and a mechanism for retrieving it.</w:t>
      </w:r>
    </w:p>
    <w:p>
      <w:pPr>
        <w:pStyle w:val="DefinitionTerm"/>
      </w:pPr>
      <w:r>
        <w:t xml:space="preserve">UTC</w:t>
      </w:r>
    </w:p>
    <w:p>
      <w:pPr>
        <w:pStyle w:val="Definition"/>
      </w:pPr>
      <w:r>
        <w:t xml:space="preserve">Coordinated Universal Time</w:t>
      </w:r>
    </w:p>
    <w:p>
      <w:pPr>
        <w:pStyle w:val="DefinitionTerm"/>
      </w:pPr>
      <w:r>
        <w:t xml:space="preserve">UTM</w:t>
      </w:r>
    </w:p>
    <w:p>
      <w:pPr>
        <w:pStyle w:val="Definition"/>
      </w:pPr>
      <w:r>
        <w:t xml:space="preserve">Universal Transverse Mercator</w:t>
      </w:r>
    </w:p>
    <w:p>
      <w:pPr>
        <w:pStyle w:val="DefinitionTerm"/>
      </w:pPr>
      <w:r>
        <w:t xml:space="preserve">WGS84</w:t>
      </w:r>
    </w:p>
    <w:p>
      <w:pPr>
        <w:pStyle w:val="Definition"/>
      </w:pPr>
      <w:r>
        <w:t xml:space="preserve">World Geodetic System 1984</w:t>
      </w:r>
    </w:p>
    <w:p>
      <w:pPr>
        <w:pStyle w:val="DefinitionTerm"/>
      </w:pPr>
      <w:r>
        <w:t xml:space="preserve">WKT</w:t>
      </w:r>
    </w:p>
    <w:p>
      <w:pPr>
        <w:pStyle w:val="Definition"/>
      </w:pPr>
      <w:r>
        <w:t xml:space="preserve">Well-Known Text (WKT) is a text markup language for representing vector geometry objects on a map, spatial reference systems of spatial objects, and transformations between spatial reference systems.</w:t>
      </w:r>
      <w:r>
        <w:t xml:space="preserve"> </w:t>
      </w:r>
      <w:r>
        <w:t xml:space="preserve">The formats were originally defined by the Open Geospatial Consortium (OGC) and described in their Simple Feature Access and Coordinate Transformation Service specifications.</w:t>
      </w:r>
    </w:p>
    <w:p>
      <w:r>
        <w:br w:type="page"/>
      </w:r>
    </w:p>
    <w:bookmarkEnd w:id="31"/>
    <w:bookmarkStart w:id="240"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52"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5" w:name="sec:meta.metadata-traceability-sa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meta.metadata-traceability-sar</w:t>
      </w:r>
    </w:p>
    <w:bookmarkStart w:id="32" w:name="threshold-requirements"/>
    <w:p>
      <w:pPr>
        <w:pStyle w:val="berschrift5"/>
      </w:pPr>
      <w:r>
        <w:t xml:space="preserve">Threshold requirements:</w:t>
      </w:r>
    </w:p>
    <w:p>
      <w:pPr>
        <w:pStyle w:val="FirstParagraph"/>
      </w:pPr>
      <w:r>
        <w:t xml:space="preserve">Not required.</w:t>
      </w:r>
      <w:r>
        <w:t xml:space="preserve"> </w:t>
      </w:r>
    </w:p>
    <w:bookmarkEnd w:id="32"/>
    <w:bookmarkStart w:id="33"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cm.metadata-radiometric-accuracy">
        <w:r>
          <w:rPr>
            <w:rStyle w:val="Hyperlink"/>
          </w:rPr>
          <w:t xml:space="preserve">Radiometrically Corrected Measurements: Radiometric Accuracy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3"/>
    <w:bookmarkStart w:id="34"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4"/>
    <w:bookmarkEnd w:id="35"/>
    <w:bookmarkStart w:id="39" w:name="sec:meta.metadata-machine-readability"/>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w:t>
      </w:r>
    </w:p>
    <w:bookmarkStart w:id="36"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36"/>
    <w:bookmarkStart w:id="37" w:name="goal-requirements-1"/>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37"/>
    <w:bookmarkStart w:id="38"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tadata-product-type-sar"/>
    <w:p>
      <w:pPr>
        <w:pStyle w:val="berschrift4"/>
      </w:pPr>
      <w:r>
        <w:rPr>
          <w:rStyle w:val="VerbatimChar"/>
        </w:rPr>
        <w:t xml:space="preserve">1.3.</w:t>
      </w:r>
      <w:r>
        <w:t xml:space="preserve"> </w:t>
      </w:r>
      <w:r>
        <w:t xml:space="preserve">Product Type</w:t>
      </w:r>
    </w:p>
    <w:p>
      <w:pPr>
        <w:pStyle w:val="FirstParagraph"/>
      </w:pPr>
      <w:r>
        <w:t xml:space="preserve">Identifier:</w:t>
      </w:r>
      <w:r>
        <w:t xml:space="preserve"> </w:t>
      </w:r>
      <w:r>
        <w:rPr>
          <w:rStyle w:val="VerbatimChar"/>
        </w:rPr>
        <w:t xml:space="preserve">meta.metadata-product-type-sar</w:t>
      </w:r>
    </w:p>
    <w:bookmarkStart w:id="40" w:name="threshold-requirements-2"/>
    <w:p>
      <w:pPr>
        <w:pStyle w:val="berschrift5"/>
      </w:pPr>
      <w:r>
        <w:t xml:space="preserve">Threshold requirements:</w:t>
      </w:r>
    </w:p>
    <w:p>
      <w:pPr>
        <w:pStyle w:val="FirstParagraph"/>
      </w:pPr>
      <w:r>
        <w:t xml:space="preserve">CEOS-ARD product type name – or names in case of compliance with more than one product type – and, if required by the data provider, copyright.</w:t>
      </w:r>
    </w:p>
    <w:bookmarkEnd w:id="40"/>
    <w:bookmarkStart w:id="41" w:name="goal-requirements-2"/>
    <w:p>
      <w:pPr>
        <w:pStyle w:val="berschrift5"/>
      </w:pPr>
      <w:r>
        <w:t xml:space="preserve">Goal requirements:</w:t>
      </w:r>
    </w:p>
    <w:p>
      <w:pPr>
        <w:pStyle w:val="FirstParagraph"/>
      </w:pPr>
      <w:r>
        <w:t xml:space="preserve">As threshold.</w:t>
      </w:r>
      <w:r>
        <w:t xml:space="preserve"> </w:t>
      </w:r>
    </w:p>
    <w:bookmarkEnd w:id="41"/>
    <w:bookmarkStart w:id="42"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metadata-pfs-url"/>
    <w:p>
      <w:pPr>
        <w:pStyle w:val="berschrift4"/>
      </w:pPr>
      <w:r>
        <w:rPr>
          <w:rStyle w:val="VerbatimChar"/>
        </w:rPr>
        <w:t xml:space="preserve">1.4.</w:t>
      </w:r>
      <w:r>
        <w:t xml:space="preserve"> </w:t>
      </w:r>
      <w:r>
        <w:t xml:space="preserve">Document Identifier</w:t>
      </w:r>
    </w:p>
    <w:p>
      <w:pPr>
        <w:pStyle w:val="FirstParagraph"/>
      </w:pPr>
      <w:r>
        <w:t xml:space="preserve">Identifier:</w:t>
      </w:r>
      <w:r>
        <w:t xml:space="preserve"> </w:t>
      </w:r>
      <w:r>
        <w:rPr>
          <w:rStyle w:val="VerbatimChar"/>
        </w:rPr>
        <w:t xml:space="preserve">meta.metadata-pfs-url</w:t>
      </w:r>
    </w:p>
    <w:bookmarkStart w:id="44" w:name="threshold-requirements-3"/>
    <w:p>
      <w:pPr>
        <w:pStyle w:val="berschrift5"/>
      </w:pPr>
      <w:r>
        <w:t xml:space="preserve">Threshold requirements:</w:t>
      </w:r>
    </w:p>
    <w:p>
      <w:pPr>
        <w:pStyle w:val="FirstParagraph"/>
      </w:pPr>
      <w:r>
        <w:t xml:space="preserve">Reference to CEOS-ARD PFS document as URL.</w:t>
      </w:r>
    </w:p>
    <w:bookmarkEnd w:id="44"/>
    <w:bookmarkStart w:id="45" w:name="goal-requirements-3"/>
    <w:p>
      <w:pPr>
        <w:pStyle w:val="berschrift5"/>
      </w:pPr>
      <w:r>
        <w:t xml:space="preserve">Goal requirements:</w:t>
      </w:r>
    </w:p>
    <w:p>
      <w:pPr>
        <w:pStyle w:val="FirstParagraph"/>
      </w:pPr>
      <w:r>
        <w:t xml:space="preserve">As threshold.</w:t>
      </w:r>
      <w:r>
        <w:t xml:space="preserve"> </w:t>
      </w:r>
    </w:p>
    <w:bookmarkEnd w:id="45"/>
    <w:bookmarkStart w:id="46"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metadata-time"/>
    <w:p>
      <w:pPr>
        <w:pStyle w:val="berschrift4"/>
      </w:pPr>
      <w:r>
        <w:rPr>
          <w:rStyle w:val="VerbatimChar"/>
        </w:rPr>
        <w:t xml:space="preserve">1.5.</w:t>
      </w:r>
      <w:r>
        <w:t xml:space="preserve"> </w:t>
      </w:r>
      <w:r>
        <w:t xml:space="preserve">Data Collection Time</w:t>
      </w:r>
    </w:p>
    <w:p>
      <w:pPr>
        <w:pStyle w:val="FirstParagraph"/>
      </w:pPr>
      <w:r>
        <w:t xml:space="preserve">Identifier:</w:t>
      </w:r>
      <w:r>
        <w:t xml:space="preserve"> </w:t>
      </w:r>
      <w:r>
        <w:rPr>
          <w:rStyle w:val="VerbatimChar"/>
        </w:rPr>
        <w:t xml:space="preserve">meta.metadata-time</w:t>
      </w:r>
    </w:p>
    <w:bookmarkStart w:id="48" w:name="threshold-requirements-4"/>
    <w:p>
      <w:pPr>
        <w:pStyle w:val="berschrift5"/>
      </w:pPr>
      <w:r>
        <w:t xml:space="preserve">Threshold requirements:</w:t>
      </w:r>
    </w:p>
    <w:p>
      <w:pPr>
        <w:pStyle w:val="FirstParagraph"/>
      </w:pPr>
      <w:r>
        <w:t xml:space="preserve">Number of source data acquisitions of the data collection is identified.</w:t>
      </w:r>
      <w:r>
        <w:t xml:space="preserve"> </w:t>
      </w:r>
      <w:r>
        <w:t xml:space="preserve">The start and stop UTC time of data collection is identified in the metadata, expressed in date/time.</w:t>
      </w:r>
      <w:r>
        <w:t xml:space="preserve"> </w:t>
      </w:r>
      <w:r>
        <w:t xml:space="preserve">In case of composite products, the dates/times of the first and last data takes and the per-pixel metadata Section </w:t>
      </w:r>
      <w:r>
        <w:t xml:space="preserve">“</w:t>
      </w:r>
      <w:hyperlink w:anchor="sec:pxl.per-pixel-acquisition-id">
        <w:r>
          <w:rPr>
            <w:rStyle w:val="Hyperlink"/>
          </w:rPr>
          <w:t xml:space="preserve">Per-Pixel Metadata: Acquisition ID Image</w:t>
        </w:r>
      </w:hyperlink>
      <w:r>
        <w:t xml:space="preserve">”</w:t>
      </w:r>
      <w:r>
        <w:t xml:space="preserve"> </w:t>
      </w:r>
      <w:r>
        <w:t xml:space="preserve">is provided with the product.</w:t>
      </w:r>
    </w:p>
    <w:bookmarkEnd w:id="48"/>
    <w:bookmarkStart w:id="49" w:name="goal-requirements-4"/>
    <w:p>
      <w:pPr>
        <w:pStyle w:val="berschrift5"/>
      </w:pPr>
      <w:r>
        <w:t xml:space="preserve">Goal requirements:</w:t>
      </w:r>
    </w:p>
    <w:p>
      <w:pPr>
        <w:pStyle w:val="FirstParagraph"/>
      </w:pPr>
      <w:r>
        <w:t xml:space="preserve">As threshold.</w:t>
      </w:r>
      <w:r>
        <w:t xml:space="preserve"> </w:t>
      </w:r>
    </w:p>
    <w:bookmarkEnd w:id="49"/>
    <w:bookmarkStart w:id="50"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bookmarkEnd w:id="50"/>
    <w:bookmarkEnd w:id="51"/>
    <w:bookmarkEnd w:id="52"/>
    <w:bookmarkStart w:id="107" w:name="sec:src"/>
    <w:p>
      <w:pPr>
        <w:pStyle w:val="berschrift3"/>
      </w:pPr>
      <w:r>
        <w:rPr>
          <w:rStyle w:val="VerbatimChar"/>
        </w:rPr>
        <w:t xml:space="preserve">2.</w:t>
      </w:r>
      <w:r>
        <w:t xml:space="preserve"> </w:t>
      </w:r>
      <w:r>
        <w:t xml:space="preserve">Source Metadata</w:t>
      </w:r>
    </w:p>
    <w:p>
      <w:pPr>
        <w:pStyle w:val="FirstParagraph"/>
      </w:pPr>
      <w:r>
        <w:t xml:space="preserve">These are metadata records describing (detailing)</w:t>
      </w:r>
      <w:r>
        <w:t xml:space="preserve"> </w:t>
      </w:r>
      <w:r>
        <w:rPr>
          <w:b/>
          <w:bCs/>
        </w:rPr>
        <w:t xml:space="preserve">each</w:t>
      </w:r>
      <w:r>
        <w:t xml:space="preserve"> </w:t>
      </w:r>
      <w:r>
        <w:t xml:space="preserve">acquisition (source data) used to generate the ARD product.</w:t>
      </w:r>
      <w:r>
        <w:t xml:space="preserve"> </w:t>
      </w:r>
      <w:r>
        <w:t xml:space="preserve">This may be one or mutliple acquisitions.</w:t>
      </w:r>
    </w:p>
    <w:bookmarkStart w:id="56" w:name="sec:src.metadata-acquisition-id"/>
    <w:p>
      <w:pPr>
        <w:pStyle w:val="berschrift4"/>
      </w:pPr>
      <w:r>
        <w:rPr>
          <w:rStyle w:val="VerbatimChar"/>
        </w:rPr>
        <w:t xml:space="preserve">2.1.</w:t>
      </w:r>
      <w:r>
        <w:t xml:space="preserve"> </w:t>
      </w:r>
      <w:r>
        <w:t xml:space="preserve">Acquisition ID</w:t>
      </w:r>
    </w:p>
    <w:p>
      <w:pPr>
        <w:pStyle w:val="FirstParagraph"/>
      </w:pPr>
      <w:r>
        <w:t xml:space="preserve">Identifier:</w:t>
      </w:r>
      <w:r>
        <w:t xml:space="preserve"> </w:t>
      </w:r>
      <w:r>
        <w:rPr>
          <w:rStyle w:val="VerbatimChar"/>
        </w:rPr>
        <w:t xml:space="preserve">src.metadata-acquisition-id</w:t>
      </w:r>
    </w:p>
    <w:bookmarkStart w:id="53" w:name="threshold-requirements-5"/>
    <w:p>
      <w:pPr>
        <w:pStyle w:val="berschrift5"/>
      </w:pPr>
      <w:r>
        <w:t xml:space="preserve">Threshold requirements:</w:t>
      </w:r>
    </w:p>
    <w:p>
      <w:pPr>
        <w:pStyle w:val="FirstParagraph"/>
      </w:pPr>
      <w:r>
        <w:t xml:space="preserve">Each acquisition is identified through a sequential identifier in the metadata, e.g. acqID = 1, 2, 3.</w:t>
      </w:r>
    </w:p>
    <w:bookmarkEnd w:id="53"/>
    <w:bookmarkStart w:id="54" w:name="goal-requirements-5"/>
    <w:p>
      <w:pPr>
        <w:pStyle w:val="berschrift5"/>
      </w:pPr>
      <w:r>
        <w:t xml:space="preserve">Goal requirements:</w:t>
      </w:r>
    </w:p>
    <w:p>
      <w:pPr>
        <w:pStyle w:val="FirstParagraph"/>
      </w:pPr>
      <w:r>
        <w:t xml:space="preserve">As threshold.</w:t>
      </w:r>
      <w:r>
        <w:t xml:space="preserve"> </w:t>
      </w:r>
    </w:p>
    <w:bookmarkEnd w:id="54"/>
    <w:bookmarkStart w:id="55"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5"/>
    <w:bookmarkEnd w:id="56"/>
    <w:bookmarkStart w:id="60" w:name="sec:src.metadata-data-access-source"/>
    <w:p>
      <w:pPr>
        <w:pStyle w:val="berschrift4"/>
      </w:pPr>
      <w:r>
        <w:rPr>
          <w:rStyle w:val="VerbatimChar"/>
        </w:rPr>
        <w:t xml:space="preserve">2.2.</w:t>
      </w:r>
      <w:r>
        <w:t xml:space="preserve"> </w:t>
      </w:r>
      <w:r>
        <w:t xml:space="preserve">Source Data Access</w:t>
      </w:r>
    </w:p>
    <w:p>
      <w:pPr>
        <w:pStyle w:val="FirstParagraph"/>
      </w:pPr>
      <w:r>
        <w:t xml:space="preserve">Identifier:</w:t>
      </w:r>
      <w:r>
        <w:t xml:space="preserve"> </w:t>
      </w:r>
      <w:r>
        <w:rPr>
          <w:rStyle w:val="VerbatimChar"/>
        </w:rPr>
        <w:t xml:space="preserve">src.metadata-data-access-source</w:t>
      </w:r>
    </w:p>
    <w:bookmarkStart w:id="57" w:name="threshold-requirements-6"/>
    <w:p>
      <w:pPr>
        <w:pStyle w:val="berschrift5"/>
      </w:pPr>
      <w:r>
        <w:t xml:space="preserve">Threshold requirements:</w:t>
      </w:r>
    </w:p>
    <w:p>
      <w:pPr>
        <w:pStyle w:val="FirstParagraph"/>
      </w:pPr>
      <w:r>
        <w:t xml:space="preserve">The metadata identifies the location from where the source data can be retrieved, expressed as a URL or DOI.</w:t>
      </w:r>
    </w:p>
    <w:bookmarkEnd w:id="57"/>
    <w:bookmarkStart w:id="58" w:name="goal-requirements-6"/>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58"/>
    <w:bookmarkStart w:id="59"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9"/>
    <w:bookmarkEnd w:id="60"/>
    <w:bookmarkStart w:id="65" w:name="sec:src.metadata-instrument"/>
    <w:p>
      <w:pPr>
        <w:pStyle w:val="berschrift4"/>
      </w:pPr>
      <w:r>
        <w:rPr>
          <w:rStyle w:val="VerbatimChar"/>
        </w:rPr>
        <w:t xml:space="preserve">2.3.</w:t>
      </w:r>
      <w:r>
        <w:t xml:space="preserve"> </w:t>
      </w:r>
      <w:r>
        <w:t xml:space="preserve">Instrument</w:t>
      </w:r>
    </w:p>
    <w:p>
      <w:pPr>
        <w:pStyle w:val="FirstParagraph"/>
      </w:pPr>
      <w:r>
        <w:t xml:space="preserve">Identifier:</w:t>
      </w:r>
      <w:r>
        <w:t xml:space="preserve"> </w:t>
      </w:r>
      <w:r>
        <w:rPr>
          <w:rStyle w:val="VerbatimChar"/>
        </w:rPr>
        <w:t xml:space="preserve">src.metadata-instrument</w:t>
      </w:r>
    </w:p>
    <w:bookmarkStart w:id="61" w:name="threshold-requirements-7"/>
    <w:p>
      <w:pPr>
        <w:pStyle w:val="berschrift5"/>
      </w:pPr>
      <w:r>
        <w:t xml:space="preserve">Threshold requirements:</w:t>
      </w:r>
    </w:p>
    <w:p>
      <w:pPr>
        <w:pStyle w:val="FirstParagraph"/>
      </w:pPr>
      <w:r>
        <w:t xml:space="preserve">The instrument used to collect the data is identified in the metadata:</w:t>
      </w:r>
    </w:p>
    <w:p>
      <w:pPr>
        <w:pStyle w:val="Compact"/>
        <w:numPr>
          <w:ilvl w:val="0"/>
          <w:numId w:val="1010"/>
        </w:numPr>
      </w:pPr>
      <w:r>
        <w:t xml:space="preserve">Satellite name</w:t>
      </w:r>
    </w:p>
    <w:p>
      <w:pPr>
        <w:pStyle w:val="Compact"/>
        <w:numPr>
          <w:ilvl w:val="0"/>
          <w:numId w:val="1010"/>
        </w:numPr>
      </w:pPr>
      <w:r>
        <w:t xml:space="preserve">Instrument name</w:t>
      </w:r>
    </w:p>
    <w:bookmarkEnd w:id="61"/>
    <w:bookmarkStart w:id="63" w:name="goal-requirements-7"/>
    <w:p>
      <w:pPr>
        <w:pStyle w:val="berschrift5"/>
      </w:pPr>
      <w:r>
        <w:t xml:space="preserve">Goal requirements:</w:t>
      </w:r>
    </w:p>
    <w:p>
      <w:pPr>
        <w:pStyle w:val="FirstParagraph"/>
      </w:pPr>
      <w:r>
        <w:t xml:space="preserve">As threshold, but including a reference to the relevant</w:t>
      </w:r>
      <w:r>
        <w:t xml:space="preserve"> </w:t>
      </w:r>
      <w:hyperlink r:id="rId62">
        <w:r>
          <w:rPr>
            <w:rStyle w:val="Hyperlink"/>
          </w:rPr>
          <w:t xml:space="preserve">CEOS Missions, Instruments and Measurements Database</w:t>
        </w:r>
      </w:hyperlink>
      <w:r>
        <w:t xml:space="preserve"> </w:t>
      </w:r>
      <w:r>
        <w:t xml:space="preserve">record.</w:t>
      </w:r>
    </w:p>
    <w:bookmarkEnd w:id="63"/>
    <w:bookmarkStart w:id="64"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src.metadata-time-source"/>
    <w:p>
      <w:pPr>
        <w:pStyle w:val="berschrift4"/>
      </w:pPr>
      <w:r>
        <w:rPr>
          <w:rStyle w:val="VerbatimChar"/>
        </w:rPr>
        <w:t xml:space="preserve">2.4.</w:t>
      </w:r>
      <w:r>
        <w:t xml:space="preserve"> </w:t>
      </w:r>
      <w:r>
        <w:t xml:space="preserve">Source Data Acquisition Time</w:t>
      </w:r>
    </w:p>
    <w:p>
      <w:pPr>
        <w:pStyle w:val="FirstParagraph"/>
      </w:pPr>
      <w:r>
        <w:t xml:space="preserve">Identifier:</w:t>
      </w:r>
      <w:r>
        <w:t xml:space="preserve"> </w:t>
      </w:r>
      <w:r>
        <w:rPr>
          <w:rStyle w:val="VerbatimChar"/>
        </w:rPr>
        <w:t xml:space="preserve">src.metadata-time-source</w:t>
      </w:r>
    </w:p>
    <w:bookmarkStart w:id="66" w:name="threshold-requirements-8"/>
    <w:p>
      <w:pPr>
        <w:pStyle w:val="berschrift5"/>
      </w:pPr>
      <w:r>
        <w:t xml:space="preserve">Threshold requirements:</w:t>
      </w:r>
    </w:p>
    <w:p>
      <w:pPr>
        <w:pStyle w:val="FirstParagraph"/>
      </w:pPr>
      <w:r>
        <w:t xml:space="preserve">The start date and time of source data is identified in the metadata, expressed in UTC in date and time, at least to the second.</w:t>
      </w:r>
    </w:p>
    <w:bookmarkEnd w:id="66"/>
    <w:bookmarkStart w:id="67" w:name="goal-requirements-8"/>
    <w:p>
      <w:pPr>
        <w:pStyle w:val="berschrift5"/>
      </w:pPr>
      <w:r>
        <w:t xml:space="preserve">Goal requirements:</w:t>
      </w:r>
    </w:p>
    <w:p>
      <w:pPr>
        <w:pStyle w:val="FirstParagraph"/>
      </w:pPr>
      <w:r>
        <w:t xml:space="preserve">As threshold.</w:t>
      </w:r>
      <w:r>
        <w:t xml:space="preserve"> </w:t>
      </w:r>
    </w:p>
    <w:bookmarkEnd w:id="67"/>
    <w:bookmarkStart w:id="68"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X388564888c1c6fa2a0a60a2518ddf0e462cce33"/>
    <w:p>
      <w:pPr>
        <w:pStyle w:val="berschrift4"/>
      </w:pPr>
      <w:r>
        <w:rPr>
          <w:rStyle w:val="VerbatimChar"/>
        </w:rPr>
        <w:t xml:space="preserve">2.5.</w:t>
      </w:r>
      <w:r>
        <w:t xml:space="preserve"> </w:t>
      </w:r>
      <w:r>
        <w:t xml:space="preserve">Source Data Acquisition Parameters</w:t>
      </w:r>
    </w:p>
    <w:p>
      <w:pPr>
        <w:pStyle w:val="FirstParagraph"/>
      </w:pPr>
      <w:r>
        <w:t xml:space="preserve">Identifier:</w:t>
      </w:r>
      <w:r>
        <w:t xml:space="preserve"> </w:t>
      </w:r>
      <w:r>
        <w:rPr>
          <w:rStyle w:val="VerbatimChar"/>
        </w:rPr>
        <w:t xml:space="preserve">src.metadata-acquisition-parameters-sar</w:t>
      </w:r>
    </w:p>
    <w:bookmarkStart w:id="70" w:name="threshold-requirements-9"/>
    <w:p>
      <w:pPr>
        <w:pStyle w:val="berschrift5"/>
      </w:pPr>
      <w:r>
        <w:t xml:space="preserve">Threshold requirements:</w:t>
      </w:r>
    </w:p>
    <w:p>
      <w:pPr>
        <w:pStyle w:val="FirstParagraph"/>
      </w:pPr>
      <w:r>
        <w:t xml:space="preserve">Acquisition parameters related to the SAR antenna:</w:t>
      </w:r>
    </w:p>
    <w:p>
      <w:pPr>
        <w:pStyle w:val="Compact"/>
        <w:numPr>
          <w:ilvl w:val="0"/>
          <w:numId w:val="1013"/>
        </w:numPr>
      </w:pPr>
      <w:r>
        <w:t xml:space="preserve">Radar band</w:t>
      </w:r>
    </w:p>
    <w:p>
      <w:pPr>
        <w:pStyle w:val="Compact"/>
        <w:numPr>
          <w:ilvl w:val="0"/>
          <w:numId w:val="1013"/>
        </w:numPr>
      </w:pPr>
      <w:r>
        <w:t xml:space="preserve">Centre frequency</w:t>
      </w:r>
    </w:p>
    <w:p>
      <w:pPr>
        <w:pStyle w:val="Compact"/>
        <w:numPr>
          <w:ilvl w:val="0"/>
          <w:numId w:val="1013"/>
        </w:numPr>
      </w:pPr>
      <w:r>
        <w:t xml:space="preserve">Observation mode (i.e., beam mode name)</w:t>
      </w:r>
    </w:p>
    <w:p>
      <w:pPr>
        <w:pStyle w:val="Compact"/>
        <w:numPr>
          <w:ilvl w:val="0"/>
          <w:numId w:val="1013"/>
        </w:numPr>
      </w:pPr>
      <w:r>
        <w:t xml:space="preserve">Polarization(s) (listed as in original product)</w:t>
      </w:r>
    </w:p>
    <w:p>
      <w:pPr>
        <w:pStyle w:val="Compact"/>
        <w:numPr>
          <w:ilvl w:val="0"/>
          <w:numId w:val="1013"/>
        </w:numPr>
      </w:pPr>
      <w:r>
        <w:t xml:space="preserve">Antenna pointing (right/left)</w:t>
      </w:r>
    </w:p>
    <w:p>
      <w:pPr>
        <w:pStyle w:val="Compact"/>
        <w:numPr>
          <w:ilvl w:val="0"/>
          <w:numId w:val="1013"/>
        </w:numPr>
      </w:pPr>
      <w:r>
        <w:t xml:space="preserve">Beam ID (i.e., beam mode mnemonic)</w:t>
      </w:r>
    </w:p>
    <w:bookmarkEnd w:id="70"/>
    <w:bookmarkStart w:id="71" w:name="goal-requirements-9"/>
    <w:p>
      <w:pPr>
        <w:pStyle w:val="berschrift5"/>
      </w:pPr>
      <w:r>
        <w:t xml:space="preserve">Goal requirements:</w:t>
      </w:r>
    </w:p>
    <w:p>
      <w:pPr>
        <w:pStyle w:val="FirstParagraph"/>
      </w:pPr>
      <w:r>
        <w:t xml:space="preserve">As threshold.</w:t>
      </w:r>
      <w:r>
        <w:t xml:space="preserve"> </w:t>
      </w:r>
    </w:p>
    <w:bookmarkEnd w:id="71"/>
    <w:bookmarkStart w:id="72"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72"/>
    <w:bookmarkEnd w:id="73"/>
    <w:bookmarkStart w:id="78" w:name="sec:src.metadata-orbit"/>
    <w:p>
      <w:pPr>
        <w:pStyle w:val="berschrift4"/>
      </w:pPr>
      <w:r>
        <w:rPr>
          <w:rStyle w:val="VerbatimChar"/>
        </w:rPr>
        <w:t xml:space="preserve">2.6.</w:t>
      </w:r>
      <w:r>
        <w:t xml:space="preserve"> </w:t>
      </w:r>
      <w:r>
        <w:t xml:space="preserve">Source Data Orbit Information</w:t>
      </w:r>
    </w:p>
    <w:p>
      <w:pPr>
        <w:pStyle w:val="FirstParagraph"/>
      </w:pPr>
      <w:r>
        <w:t xml:space="preserve">Identifier:</w:t>
      </w:r>
      <w:r>
        <w:t xml:space="preserve"> </w:t>
      </w:r>
      <w:r>
        <w:rPr>
          <w:rStyle w:val="VerbatimChar"/>
        </w:rPr>
        <w:t xml:space="preserve">src.metadata-orbit</w:t>
      </w:r>
    </w:p>
    <w:bookmarkStart w:id="75" w:name="threshold-requirements-10"/>
    <w:p>
      <w:pPr>
        <w:pStyle w:val="berschrift5"/>
      </w:pPr>
      <w:r>
        <w:t xml:space="preserve">Threshold requirements:</w:t>
      </w:r>
    </w:p>
    <w:p>
      <w:pPr>
        <w:pStyle w:val="FirstParagraph"/>
      </w:pPr>
      <w:r>
        <w:t xml:space="preserve">Information related to the platform orbit used for data processing:</w:t>
      </w:r>
    </w:p>
    <w:p>
      <w:pPr>
        <w:pStyle w:val="Compact"/>
        <w:numPr>
          <w:ilvl w:val="0"/>
          <w:numId w:val="1015"/>
        </w:numPr>
      </w:pPr>
      <w:r>
        <w:t xml:space="preserve">Pass direction (asc/desc)</w:t>
      </w:r>
      <w:r>
        <w:rPr>
          <w:rStyle w:val="Funotenzeichen"/>
        </w:rPr>
        <w:footnoteReference w:id="74"/>
      </w:r>
    </w:p>
    <w:p>
      <w:pPr>
        <w:pStyle w:val="Compact"/>
        <w:numPr>
          <w:ilvl w:val="0"/>
          <w:numId w:val="1015"/>
        </w:numPr>
      </w:pPr>
      <w:r>
        <w:t xml:space="preserve">Orbit data source (e.g., predicted, definite, precise, downlinked, etc.)</w:t>
      </w:r>
    </w:p>
    <w:bookmarkEnd w:id="75"/>
    <w:bookmarkStart w:id="76" w:name="goal-requirements-10"/>
    <w:p>
      <w:pPr>
        <w:pStyle w:val="berschrift5"/>
      </w:pPr>
      <w:r>
        <w:t xml:space="preserve">Goal requirements:</w:t>
      </w:r>
    </w:p>
    <w:p>
      <w:pPr>
        <w:pStyle w:val="FirstParagraph"/>
      </w:pPr>
      <w:r>
        <w:t xml:space="preserve">As threshold, including also:</w:t>
      </w:r>
    </w:p>
    <w:p>
      <w:pPr>
        <w:pStyle w:val="Compact"/>
        <w:numPr>
          <w:ilvl w:val="0"/>
          <w:numId w:val="1016"/>
        </w:numPr>
      </w:pPr>
      <w:r>
        <w:t xml:space="preserve">Platform heading angle expressed in degrees (0-360) from North</w:t>
      </w:r>
    </w:p>
    <w:p>
      <w:pPr>
        <w:pStyle w:val="Compact"/>
        <w:numPr>
          <w:ilvl w:val="0"/>
          <w:numId w:val="1016"/>
        </w:numPr>
      </w:pPr>
      <w:r>
        <w:t xml:space="preserve">Orbit data file containing state vectors (minimum of 5 state vectors, from 10% of scene length before start time to 10% of scene length after stop time)</w:t>
      </w:r>
    </w:p>
    <w:p>
      <w:pPr>
        <w:pStyle w:val="Compact"/>
        <w:numPr>
          <w:ilvl w:val="0"/>
          <w:numId w:val="1016"/>
        </w:numPr>
      </w:pPr>
      <w:r>
        <w:t xml:space="preserve">Platform (mean) altitude</w:t>
      </w:r>
    </w:p>
    <w:bookmarkEnd w:id="76"/>
    <w:bookmarkStart w:id="77"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7"/>
    <w:bookmarkEnd w:id="78"/>
    <w:bookmarkStart w:id="82" w:name="sec:src.metadata-processing-parameters"/>
    <w:p>
      <w:pPr>
        <w:pStyle w:val="berschrift4"/>
      </w:pPr>
      <w:r>
        <w:rPr>
          <w:rStyle w:val="VerbatimChar"/>
        </w:rPr>
        <w:t xml:space="preserve">2.7.</w:t>
      </w:r>
      <w:r>
        <w:t xml:space="preserve"> </w:t>
      </w:r>
      <w:r>
        <w:t xml:space="preserve">Source Data Processing Parameters</w:t>
      </w:r>
    </w:p>
    <w:p>
      <w:pPr>
        <w:pStyle w:val="FirstParagraph"/>
      </w:pPr>
      <w:r>
        <w:t xml:space="preserve">Identifier:</w:t>
      </w:r>
      <w:r>
        <w:t xml:space="preserve"> </w:t>
      </w:r>
      <w:r>
        <w:rPr>
          <w:rStyle w:val="VerbatimChar"/>
        </w:rPr>
        <w:t xml:space="preserve">src.metadata-processing-parameters</w:t>
      </w:r>
    </w:p>
    <w:bookmarkStart w:id="79" w:name="threshold-requirements-11"/>
    <w:p>
      <w:pPr>
        <w:pStyle w:val="berschrift5"/>
      </w:pPr>
      <w:r>
        <w:t xml:space="preserve">Threshold requirements:</w:t>
      </w:r>
    </w:p>
    <w:p>
      <w:pPr>
        <w:pStyle w:val="FirstParagraph"/>
      </w:pPr>
      <w:r>
        <w:t xml:space="preserve">Processing parameters details of the source data:</w:t>
      </w:r>
    </w:p>
    <w:p>
      <w:pPr>
        <w:pStyle w:val="Compact"/>
        <w:numPr>
          <w:ilvl w:val="0"/>
          <w:numId w:val="1018"/>
        </w:numPr>
      </w:pPr>
      <w:r>
        <w:t xml:space="preserve">Processing facility</w:t>
      </w:r>
    </w:p>
    <w:p>
      <w:pPr>
        <w:pStyle w:val="Compact"/>
        <w:numPr>
          <w:ilvl w:val="0"/>
          <w:numId w:val="1018"/>
        </w:numPr>
      </w:pPr>
      <w:r>
        <w:t xml:space="preserve">Processing date</w:t>
      </w:r>
    </w:p>
    <w:p>
      <w:pPr>
        <w:pStyle w:val="Compact"/>
        <w:numPr>
          <w:ilvl w:val="0"/>
          <w:numId w:val="1018"/>
        </w:numPr>
      </w:pPr>
      <w:r>
        <w:t xml:space="preserve">Software version</w:t>
      </w:r>
    </w:p>
    <w:p>
      <w:pPr>
        <w:pStyle w:val="Compact"/>
        <w:numPr>
          <w:ilvl w:val="0"/>
          <w:numId w:val="1018"/>
        </w:numPr>
      </w:pPr>
      <w:r>
        <w:t xml:space="preserve">Product level</w:t>
      </w:r>
    </w:p>
    <w:p>
      <w:pPr>
        <w:pStyle w:val="Compact"/>
        <w:numPr>
          <w:ilvl w:val="0"/>
          <w:numId w:val="1018"/>
        </w:numPr>
      </w:pPr>
      <w:r>
        <w:t xml:space="preserve">Product ID (file name)</w:t>
      </w:r>
    </w:p>
    <w:p>
      <w:pPr>
        <w:pStyle w:val="Compact"/>
        <w:numPr>
          <w:ilvl w:val="0"/>
          <w:numId w:val="1018"/>
        </w:numPr>
      </w:pPr>
      <w:r>
        <w:t xml:space="preserve">Azimuth number of looks</w:t>
      </w:r>
    </w:p>
    <w:p>
      <w:pPr>
        <w:pStyle w:val="Compact"/>
        <w:numPr>
          <w:ilvl w:val="0"/>
          <w:numId w:val="1018"/>
        </w:numPr>
      </w:pPr>
      <w:r>
        <w:t xml:space="preserve">Range number of looks (separate values for each beam, as necessary)</w:t>
      </w:r>
    </w:p>
    <w:bookmarkEnd w:id="79"/>
    <w:bookmarkStart w:id="80" w:name="goal-requirements-11"/>
    <w:p>
      <w:pPr>
        <w:pStyle w:val="berschrift5"/>
      </w:pPr>
      <w:r>
        <w:t xml:space="preserve">Goal requirements:</w:t>
      </w:r>
    </w:p>
    <w:p>
      <w:pPr>
        <w:pStyle w:val="FirstParagraph"/>
      </w:pPr>
      <w:r>
        <w:t xml:space="preserve">As threshold, plus additional relevant processing parameters, e.g., range- and azimuth look bandwidth and LUT applied.</w:t>
      </w:r>
    </w:p>
    <w:bookmarkEnd w:id="80"/>
    <w:bookmarkStart w:id="81"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1"/>
    <w:bookmarkEnd w:id="82"/>
    <w:bookmarkStart w:id="86" w:name="sec:src.metadata-image-attributes-sar"/>
    <w:p>
      <w:pPr>
        <w:pStyle w:val="berschrift4"/>
      </w:pPr>
      <w:r>
        <w:rPr>
          <w:rStyle w:val="VerbatimChar"/>
        </w:rPr>
        <w:t xml:space="preserve">2.8.</w:t>
      </w:r>
      <w:r>
        <w:t xml:space="preserve"> </w:t>
      </w:r>
      <w:r>
        <w:t xml:space="preserve">Source Data Image Attributes</w:t>
      </w:r>
    </w:p>
    <w:p>
      <w:pPr>
        <w:pStyle w:val="FirstParagraph"/>
      </w:pPr>
      <w:r>
        <w:t xml:space="preserve">Identifier:</w:t>
      </w:r>
      <w:r>
        <w:t xml:space="preserve"> </w:t>
      </w:r>
      <w:r>
        <w:rPr>
          <w:rStyle w:val="VerbatimChar"/>
        </w:rPr>
        <w:t xml:space="preserve">src.metadata-image-attributes-sar</w:t>
      </w:r>
    </w:p>
    <w:bookmarkStart w:id="83" w:name="threshold-requirements-12"/>
    <w:p>
      <w:pPr>
        <w:pStyle w:val="berschrift5"/>
      </w:pPr>
      <w:r>
        <w:t xml:space="preserve">Threshold requirements:</w:t>
      </w:r>
    </w:p>
    <w:p>
      <w:pPr>
        <w:pStyle w:val="FirstParagraph"/>
      </w:pPr>
      <w:r>
        <w:t xml:space="preserve">Image attributes related to the source data:</w:t>
      </w:r>
    </w:p>
    <w:p>
      <w:pPr>
        <w:pStyle w:val="Compact"/>
        <w:numPr>
          <w:ilvl w:val="0"/>
          <w:numId w:val="1020"/>
        </w:numPr>
      </w:pPr>
      <w:r>
        <w:t xml:space="preserve">Source Data geometry (slant range/ground range)</w:t>
      </w:r>
    </w:p>
    <w:p>
      <w:pPr>
        <w:pStyle w:val="Compact"/>
        <w:numPr>
          <w:ilvl w:val="0"/>
          <w:numId w:val="1020"/>
        </w:numPr>
      </w:pPr>
      <w:r>
        <w:t xml:space="preserve">Azimuth pixel spacing [m] (alternatively, Azimuth pixel spacing can be provided in second [s], equivalent to the azimuth time sample interval)</w:t>
      </w:r>
    </w:p>
    <w:p>
      <w:pPr>
        <w:pStyle w:val="Compact"/>
        <w:numPr>
          <w:ilvl w:val="0"/>
          <w:numId w:val="1020"/>
        </w:numPr>
      </w:pPr>
      <w:r>
        <w:t xml:space="preserve">Range pixel spacing</w:t>
      </w:r>
    </w:p>
    <w:p>
      <w:pPr>
        <w:pStyle w:val="Compact"/>
        <w:numPr>
          <w:ilvl w:val="0"/>
          <w:numId w:val="1020"/>
        </w:numPr>
      </w:pPr>
      <w:r>
        <w:t xml:space="preserve">Azimuth resolution</w:t>
      </w:r>
    </w:p>
    <w:p>
      <w:pPr>
        <w:pStyle w:val="Compact"/>
        <w:numPr>
          <w:ilvl w:val="0"/>
          <w:numId w:val="1020"/>
        </w:numPr>
      </w:pPr>
      <w:r>
        <w:t xml:space="preserve">Range resolution</w:t>
      </w:r>
    </w:p>
    <w:p>
      <w:pPr>
        <w:pStyle w:val="Compact"/>
        <w:numPr>
          <w:ilvl w:val="0"/>
          <w:numId w:val="1020"/>
        </w:numPr>
      </w:pPr>
      <w:r>
        <w:t xml:space="preserve">Near range incident angle</w:t>
      </w:r>
    </w:p>
    <w:p>
      <w:pPr>
        <w:pStyle w:val="Compact"/>
        <w:numPr>
          <w:ilvl w:val="0"/>
          <w:numId w:val="1020"/>
        </w:numPr>
      </w:pPr>
      <w:r>
        <w:t xml:space="preserve">Far range incident angle</w:t>
      </w:r>
    </w:p>
    <w:bookmarkEnd w:id="83"/>
    <w:bookmarkStart w:id="84" w:name="goal-requirements-12"/>
    <w:p>
      <w:pPr>
        <w:pStyle w:val="berschrift5"/>
      </w:pPr>
      <w:r>
        <w:t xml:space="preserve">Goal requirements:</w:t>
      </w:r>
    </w:p>
    <w:p>
      <w:pPr>
        <w:pStyle w:val="FirstParagraph"/>
      </w:pPr>
      <w:r>
        <w:t xml:space="preserve">Geometry of the image footprint expressed in WGS84 in a standardised format (e.g., WKT).</w:t>
      </w:r>
    </w:p>
    <w:bookmarkEnd w:id="84"/>
    <w:bookmarkStart w:id="85"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5"/>
    <w:bookmarkEnd w:id="86"/>
    <w:bookmarkStart w:id="90" w:name="sec:src.metadata-sensor-calibration"/>
    <w:p>
      <w:pPr>
        <w:pStyle w:val="berschrift4"/>
      </w:pPr>
      <w:r>
        <w:rPr>
          <w:rStyle w:val="VerbatimChar"/>
        </w:rPr>
        <w:t xml:space="preserve">2.9.</w:t>
      </w:r>
      <w:r>
        <w:t xml:space="preserve"> </w:t>
      </w:r>
      <w:r>
        <w:t xml:space="preserve">Sensor Calibration</w:t>
      </w:r>
    </w:p>
    <w:p>
      <w:pPr>
        <w:pStyle w:val="FirstParagraph"/>
      </w:pPr>
      <w:r>
        <w:t xml:space="preserve">Identifier:</w:t>
      </w:r>
      <w:r>
        <w:t xml:space="preserve"> </w:t>
      </w:r>
      <w:r>
        <w:rPr>
          <w:rStyle w:val="VerbatimChar"/>
        </w:rPr>
        <w:t xml:space="preserve">src.metadata-sensor-calibration</w:t>
      </w:r>
    </w:p>
    <w:bookmarkStart w:id="87" w:name="threshold-requirements-13"/>
    <w:p>
      <w:pPr>
        <w:pStyle w:val="berschrift5"/>
      </w:pPr>
      <w:r>
        <w:t xml:space="preserve">Threshold requirements:</w:t>
      </w:r>
    </w:p>
    <w:p>
      <w:pPr>
        <w:pStyle w:val="FirstParagraph"/>
      </w:pPr>
      <w:r>
        <w:t xml:space="preserve">Not required.</w:t>
      </w:r>
      <w:r>
        <w:t xml:space="preserve"> </w:t>
      </w:r>
    </w:p>
    <w:bookmarkEnd w:id="87"/>
    <w:bookmarkStart w:id="88" w:name="goal-requirements-13"/>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bookmarkEnd w:id="88"/>
    <w:bookmarkStart w:id="89" w:name="assessment-13"/>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9"/>
    <w:bookmarkEnd w:id="90"/>
    <w:bookmarkStart w:id="94" w:name="sec:src.metadata-performance-indicators"/>
    <w:p>
      <w:pPr>
        <w:pStyle w:val="berschrift4"/>
      </w:pPr>
      <w:r>
        <w:rPr>
          <w:rStyle w:val="VerbatimChar"/>
        </w:rPr>
        <w:t xml:space="preserve">2.10.</w:t>
      </w:r>
      <w:r>
        <w:t xml:space="preserve"> </w:t>
      </w:r>
      <w:r>
        <w:t xml:space="preserve">Performance Indicators</w:t>
      </w:r>
    </w:p>
    <w:p>
      <w:pPr>
        <w:pStyle w:val="FirstParagraph"/>
      </w:pPr>
      <w:r>
        <w:t xml:space="preserve">Identifier:</w:t>
      </w:r>
      <w:r>
        <w:t xml:space="preserve"> </w:t>
      </w:r>
      <w:r>
        <w:rPr>
          <w:rStyle w:val="VerbatimChar"/>
        </w:rPr>
        <w:t xml:space="preserve">src.metadata-performance-indicators</w:t>
      </w:r>
    </w:p>
    <w:bookmarkStart w:id="91" w:name="threshold-requirements-14"/>
    <w:p>
      <w:pPr>
        <w:pStyle w:val="berschrift5"/>
      </w:pPr>
      <w:r>
        <w:t xml:space="preserve">Threshold requirements:</w:t>
      </w:r>
    </w:p>
    <w:p>
      <w:pPr>
        <w:pStyle w:val="FirstParagraph"/>
      </w:pPr>
      <w:r>
        <w:t xml:space="preserve">Provide performance indicators on data intensity noise level (</w:t>
      </w:r>
      <m:oMath>
        <m:r>
          <m:rPr>
            <m:nor/>
            <m:sty m:val="p"/>
          </m:rPr>
          <m:t>NE</m:t>
        </m:r>
        <m:sSup>
          <m:e>
            <m:r>
              <m:t>σ</m:t>
            </m:r>
          </m:e>
          <m:sup>
            <m:r>
              <m:t>0</m:t>
            </m:r>
          </m:sup>
        </m:sSup>
      </m:oMath>
      <w:r>
        <w:t xml:space="preserve"> </w:t>
      </w:r>
      <w:r>
        <w:t xml:space="preserve">and/or</w:t>
      </w:r>
      <w:r>
        <w:t xml:space="preserve"> </w:t>
      </w:r>
      <m:oMath>
        <m:r>
          <m:rPr>
            <m:nor/>
            <m:sty m:val="p"/>
          </m:rPr>
          <m:t>NE</m:t>
        </m:r>
        <m:sSup>
          <m:e>
            <m:r>
              <m:t>β</m:t>
            </m:r>
          </m:e>
          <m:sup>
            <m:r>
              <m:t>0</m:t>
            </m:r>
          </m:sup>
        </m:sSup>
      </m:oMath>
      <w:r>
        <w:t xml:space="preserve"> </w:t>
      </w:r>
      <w:r>
        <w:t xml:space="preserve">and/or</w:t>
      </w:r>
      <w:r>
        <w:t xml:space="preserve"> </w:t>
      </w:r>
      <m:oMath>
        <m:r>
          <m:rPr>
            <m:nor/>
            <m:sty m:val="p"/>
          </m:rPr>
          <m:t>NE</m:t>
        </m:r>
        <m:sSup>
          <m:e>
            <m:r>
              <m:t>γ</m:t>
            </m:r>
          </m:e>
          <m:sup>
            <m:r>
              <m:t>0</m:t>
            </m:r>
          </m:sup>
        </m:sSup>
      </m:oMath>
      <w:r>
        <w:t xml:space="preserve">, i.e., noise equivalent Sigma- and/or Beta- and/or Gamma-Nought).</w:t>
      </w:r>
      <w:r>
        <w:t xml:space="preserve"> </w:t>
      </w:r>
      <w:r>
        <w:t xml:space="preserve">Provided for each polarization channel when available.</w:t>
      </w:r>
    </w:p>
    <w:p>
      <w:pPr>
        <w:pStyle w:val="Textkrper"/>
      </w:pPr>
      <w:r>
        <w:t xml:space="preserve">Parameter may be expressed as the mean and/or minimum and maximum noise equivalent values of the source data.</w:t>
      </w:r>
    </w:p>
    <w:p>
      <w:pPr>
        <w:pStyle w:val="Textkrper"/>
      </w:pPr>
      <w:r>
        <w:t xml:space="preserve">Values do not need to be estimated individually for each product, but may be estimated once for each acquisition mode, and annotated on all products.</w:t>
      </w:r>
    </w:p>
    <w:bookmarkEnd w:id="91"/>
    <w:bookmarkStart w:id="92" w:name="goal-requirements-14"/>
    <w:p>
      <w:pPr>
        <w:pStyle w:val="berschrift5"/>
      </w:pPr>
      <w:r>
        <w:t xml:space="preserve">Goal requirements:</w:t>
      </w:r>
    </w:p>
    <w:p>
      <w:pPr>
        <w:pStyle w:val="FirstParagraph"/>
      </w:pPr>
      <w:r>
        <w:t xml:space="preserve">Provide additional relevant performance indicators (e.g., ENL, PSLR, ISLR, and performance reference DOI or URL).</w:t>
      </w:r>
    </w:p>
    <w:bookmarkEnd w:id="92"/>
    <w:bookmarkStart w:id="93" w:name="assessment-14"/>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93"/>
    <w:bookmarkEnd w:id="94"/>
    <w:bookmarkStart w:id="98" w:name="Xfba7a12354a19b5faae5bafbe3d48cff22204af"/>
    <w:p>
      <w:pPr>
        <w:pStyle w:val="berschrift4"/>
      </w:pPr>
      <w:r>
        <w:rPr>
          <w:rStyle w:val="VerbatimChar"/>
        </w:rPr>
        <w:t xml:space="preserve">2.11.</w:t>
      </w:r>
      <w:r>
        <w:t xml:space="preserve"> </w:t>
      </w:r>
      <w:r>
        <w:t xml:space="preserve">Polarimetric Calibration Matrices</w:t>
      </w:r>
    </w:p>
    <w:p>
      <w:pPr>
        <w:pStyle w:val="FirstParagraph"/>
      </w:pPr>
      <w:r>
        <w:t xml:space="preserve">Identifier:</w:t>
      </w:r>
      <w:r>
        <w:t xml:space="preserve"> </w:t>
      </w:r>
      <w:r>
        <w:rPr>
          <w:rStyle w:val="VerbatimChar"/>
        </w:rPr>
        <w:t xml:space="preserve">src.metadata-polarimetric-calibration-matrices</w:t>
      </w:r>
    </w:p>
    <w:bookmarkStart w:id="95" w:name="threshold-requirements-15"/>
    <w:p>
      <w:pPr>
        <w:pStyle w:val="berschrift5"/>
      </w:pPr>
      <w:r>
        <w:t xml:space="preserve">Threshold requirements:</w:t>
      </w:r>
    </w:p>
    <w:p>
      <w:pPr>
        <w:pStyle w:val="FirstParagraph"/>
      </w:pPr>
      <w:r>
        <w:t xml:space="preserve">Not required.</w:t>
      </w:r>
      <w:r>
        <w:t xml:space="preserve"> </w:t>
      </w:r>
    </w:p>
    <w:bookmarkEnd w:id="95"/>
    <w:bookmarkStart w:id="96" w:name="goal-requirements-15"/>
    <w:p>
      <w:pPr>
        <w:pStyle w:val="berschrift5"/>
      </w:pPr>
      <w:r>
        <w:t xml:space="preserve">Goal requirements:</w:t>
      </w:r>
    </w:p>
    <w:p>
      <w:pPr>
        <w:pStyle w:val="FirstParagraph"/>
      </w:pPr>
      <w:r>
        <w:t xml:space="preserve">The complex-valued polarimetric distortion matrices with the channel imbalance and the cross-talk applied for the polarimetric calibration.</w:t>
      </w:r>
    </w:p>
    <w:bookmarkEnd w:id="96"/>
    <w:bookmarkStart w:id="97" w:name="assessment-15"/>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7"/>
    <w:bookmarkEnd w:id="98"/>
    <w:bookmarkStart w:id="102" w:name="X5b1ceaf4a0f14a39998a160329b697f4fdfe671"/>
    <w:p>
      <w:pPr>
        <w:pStyle w:val="berschrift4"/>
      </w:pPr>
      <w:r>
        <w:rPr>
          <w:rStyle w:val="VerbatimChar"/>
        </w:rPr>
        <w:t xml:space="preserve">2.12.</w:t>
      </w:r>
      <w:r>
        <w:t xml:space="preserve"> </w:t>
      </w:r>
      <w:r>
        <w:t xml:space="preserve">Mean Faraday Rotation Angle</w:t>
      </w:r>
    </w:p>
    <w:p>
      <w:pPr>
        <w:pStyle w:val="FirstParagraph"/>
      </w:pPr>
      <w:r>
        <w:t xml:space="preserve">Identifier:</w:t>
      </w:r>
      <w:r>
        <w:t xml:space="preserve"> </w:t>
      </w:r>
      <w:r>
        <w:rPr>
          <w:rStyle w:val="VerbatimChar"/>
        </w:rPr>
        <w:t xml:space="preserve">src.metadata-mean-faraday-rotation-angle</w:t>
      </w:r>
    </w:p>
    <w:bookmarkStart w:id="99" w:name="threshold-requirements-16"/>
    <w:p>
      <w:pPr>
        <w:pStyle w:val="berschrift5"/>
      </w:pPr>
      <w:r>
        <w:t xml:space="preserve">Threshold requirements:</w:t>
      </w:r>
    </w:p>
    <w:p>
      <w:pPr>
        <w:pStyle w:val="FirstParagraph"/>
      </w:pPr>
      <w:r>
        <w:t xml:space="preserve">Not required.</w:t>
      </w:r>
      <w:r>
        <w:t xml:space="preserve"> </w:t>
      </w:r>
    </w:p>
    <w:bookmarkEnd w:id="99"/>
    <w:bookmarkStart w:id="100" w:name="goal-requirements-16"/>
    <w:p>
      <w:pPr>
        <w:pStyle w:val="berschrift5"/>
      </w:pPr>
      <w:r>
        <w:t xml:space="preserve">Goal requirements:</w:t>
      </w:r>
    </w:p>
    <w:p>
      <w:pPr>
        <w:pStyle w:val="FirstParagraph"/>
      </w:pPr>
      <w:r>
        <w:t xml:space="preserve">The mean Faraday rotation angle estimated from the polarimetric data and/or from models with reference to the method or paper used to derive the estimate.</w:t>
      </w:r>
    </w:p>
    <w:bookmarkEnd w:id="100"/>
    <w:bookmarkStart w:id="101" w:name="assessment-16"/>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1"/>
    <w:bookmarkEnd w:id="102"/>
    <w:bookmarkStart w:id="106" w:name="sec:src.metadata-ionosphere-indicator"/>
    <w:p>
      <w:pPr>
        <w:pStyle w:val="berschrift4"/>
      </w:pPr>
      <w:r>
        <w:rPr>
          <w:rStyle w:val="VerbatimChar"/>
        </w:rPr>
        <w:t xml:space="preserve">2.13.</w:t>
      </w:r>
      <w:r>
        <w:t xml:space="preserve"> </w:t>
      </w:r>
      <w:r>
        <w:t xml:space="preserve">Ionosphere Indicator</w:t>
      </w:r>
    </w:p>
    <w:p>
      <w:pPr>
        <w:pStyle w:val="FirstParagraph"/>
      </w:pPr>
      <w:r>
        <w:t xml:space="preserve">Identifier:</w:t>
      </w:r>
      <w:r>
        <w:t xml:space="preserve"> </w:t>
      </w:r>
      <w:r>
        <w:rPr>
          <w:rStyle w:val="VerbatimChar"/>
        </w:rPr>
        <w:t xml:space="preserve">src.metadata-ionosphere-indicator</w:t>
      </w:r>
    </w:p>
    <w:bookmarkStart w:id="103" w:name="threshold-requirements-17"/>
    <w:p>
      <w:pPr>
        <w:pStyle w:val="berschrift5"/>
      </w:pPr>
      <w:r>
        <w:t xml:space="preserve">Threshold requirements:</w:t>
      </w:r>
    </w:p>
    <w:p>
      <w:pPr>
        <w:pStyle w:val="FirstParagraph"/>
      </w:pPr>
      <w:r>
        <w:t xml:space="preserve">Not required.</w:t>
      </w:r>
      <w:r>
        <w:t xml:space="preserve"> </w:t>
      </w:r>
    </w:p>
    <w:bookmarkEnd w:id="103"/>
    <w:bookmarkStart w:id="104" w:name="goal-requirements-17"/>
    <w:p>
      <w:pPr>
        <w:pStyle w:val="berschrift5"/>
      </w:pPr>
      <w:r>
        <w:t xml:space="preserve">Goal requirements:</w:t>
      </w:r>
    </w:p>
    <w:p>
      <w:pPr>
        <w:pStyle w:val="FirstParagraph"/>
      </w:pPr>
      <w:r>
        <w:t xml:space="preserve">Flag indicating whether the backscatter imagery is</w:t>
      </w:r>
      <w:r>
        <w:t xml:space="preserve"> </w:t>
      </w:r>
      <w:r>
        <w:t xml:space="preserve">“significantly impacted”</w:t>
      </w:r>
      <w:r>
        <w:t xml:space="preserve"> </w:t>
      </w:r>
      <w:r>
        <w:t xml:space="preserve">by the ionosphere (0 – false, 1 – true).</w:t>
      </w:r>
      <w:r>
        <w:t xml:space="preserve"> </w:t>
      </w:r>
      <w:r>
        <w:t xml:space="preserve">Significant impact would imply that the ionospheric impact on the backscatter exceeds the radiometric calibration requirement or goal for the imagery.</w:t>
      </w:r>
    </w:p>
    <w:bookmarkEnd w:id="104"/>
    <w:bookmarkStart w:id="105" w:name="assessment-17"/>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05"/>
    <w:bookmarkEnd w:id="106"/>
    <w:bookmarkEnd w:id="107"/>
    <w:bookmarkStart w:id="156" w:name="sec:prd"/>
    <w:p>
      <w:pPr>
        <w:pStyle w:val="berschrift3"/>
      </w:pPr>
      <w:r>
        <w:rPr>
          <w:rStyle w:val="VerbatimChar"/>
        </w:rPr>
        <w:t xml:space="preserve">3.</w:t>
      </w:r>
      <w:r>
        <w:t xml:space="preserve"> </w:t>
      </w:r>
      <w:r>
        <w:t xml:space="preserve">Product Metadata</w:t>
      </w:r>
    </w:p>
    <w:p>
      <w:pPr>
        <w:pStyle w:val="FirstParagraph"/>
      </w:pPr>
      <w:r>
        <w:t xml:space="preserve">Information related to the CEOS-ARD product generation procedure and geographic parameters.</w:t>
      </w:r>
    </w:p>
    <w:bookmarkStart w:id="111" w:name="sec:prd.metadata-data-access-product"/>
    <w:p>
      <w:pPr>
        <w:pStyle w:val="berschrift4"/>
      </w:pPr>
      <w:r>
        <w:rPr>
          <w:rStyle w:val="VerbatimChar"/>
        </w:rPr>
        <w:t xml:space="preserve">3.1.</w:t>
      </w:r>
      <w:r>
        <w:t xml:space="preserve"> </w:t>
      </w:r>
      <w:r>
        <w:t xml:space="preserve">Product Data Access</w:t>
      </w:r>
    </w:p>
    <w:p>
      <w:pPr>
        <w:pStyle w:val="FirstParagraph"/>
      </w:pPr>
      <w:r>
        <w:t xml:space="preserve">Identifier:</w:t>
      </w:r>
      <w:r>
        <w:t xml:space="preserve"> </w:t>
      </w:r>
      <w:r>
        <w:rPr>
          <w:rStyle w:val="VerbatimChar"/>
        </w:rPr>
        <w:t xml:space="preserve">prd.metadata-data-access-product</w:t>
      </w:r>
    </w:p>
    <w:bookmarkStart w:id="108" w:name="threshold-requirements-18"/>
    <w:p>
      <w:pPr>
        <w:pStyle w:val="berschrift5"/>
      </w:pPr>
      <w:r>
        <w:t xml:space="preserve">Threshold requirements:</w:t>
      </w:r>
    </w:p>
    <w:p>
      <w:pPr>
        <w:pStyle w:val="FirstParagraph"/>
      </w:pPr>
      <w:r>
        <w:t xml:space="preserve">Processing parameters details of the CEOS-ARD product:</w:t>
      </w:r>
    </w:p>
    <w:p>
      <w:pPr>
        <w:pStyle w:val="Compact"/>
        <w:numPr>
          <w:ilvl w:val="0"/>
          <w:numId w:val="1027"/>
        </w:numPr>
      </w:pPr>
      <w:r>
        <w:t xml:space="preserve">Processing facility</w:t>
      </w:r>
    </w:p>
    <w:p>
      <w:pPr>
        <w:pStyle w:val="Compact"/>
        <w:numPr>
          <w:ilvl w:val="0"/>
          <w:numId w:val="1027"/>
        </w:numPr>
      </w:pPr>
      <w:r>
        <w:t xml:space="preserve">Processing date</w:t>
      </w:r>
    </w:p>
    <w:p>
      <w:pPr>
        <w:pStyle w:val="Compact"/>
        <w:numPr>
          <w:ilvl w:val="0"/>
          <w:numId w:val="1027"/>
        </w:numPr>
      </w:pPr>
      <w:r>
        <w:t xml:space="preserve">Software version</w:t>
      </w:r>
    </w:p>
    <w:p>
      <w:pPr>
        <w:pStyle w:val="Compact"/>
        <w:numPr>
          <w:ilvl w:val="0"/>
          <w:numId w:val="1027"/>
        </w:numPr>
      </w:pPr>
      <w:r>
        <w:t xml:space="preserve">Location from where CEOS-ARD product can be retrieved, expressed as a URL or DOI.</w:t>
      </w:r>
    </w:p>
    <w:bookmarkEnd w:id="108"/>
    <w:bookmarkStart w:id="109" w:name="goal-requirements-18"/>
    <w:p>
      <w:pPr>
        <w:pStyle w:val="berschrift5"/>
      </w:pPr>
      <w:r>
        <w:t xml:space="preserve">Goal requirements:</w:t>
      </w:r>
    </w:p>
    <w:p>
      <w:pPr>
        <w:pStyle w:val="FirstParagraph"/>
      </w:pPr>
      <w:r>
        <w:t xml:space="preserve">The metadata identifies an online location from where the data can be consistently and reliably retrieved by a computer algorithm without any manual intervention being required.</w:t>
      </w:r>
    </w:p>
    <w:bookmarkEnd w:id="109"/>
    <w:bookmarkStart w:id="110" w:name="assessment-18"/>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p>
      <w:r>
        <w:pict>
          <v:rect style="width:0;height:1.5pt" o:hralign="center" o:hrstd="t" o:hr="t"/>
        </w:pict>
      </w:r>
    </w:p>
    <w:bookmarkEnd w:id="110"/>
    <w:bookmarkEnd w:id="111"/>
    <w:bookmarkStart w:id="115" w:name="sec:prd.metadata-auxiliary-data"/>
    <w:p>
      <w:pPr>
        <w:pStyle w:val="berschrift4"/>
      </w:pPr>
      <w:r>
        <w:rPr>
          <w:rStyle w:val="VerbatimChar"/>
        </w:rPr>
        <w:t xml:space="preserve">3.2.</w:t>
      </w:r>
      <w:r>
        <w:t xml:space="preserve"> </w:t>
      </w:r>
      <w:r>
        <w:t xml:space="preserve">Auxiliary Data</w:t>
      </w:r>
    </w:p>
    <w:p>
      <w:pPr>
        <w:pStyle w:val="FirstParagraph"/>
      </w:pPr>
      <w:r>
        <w:t xml:space="preserve">Identifier:</w:t>
      </w:r>
      <w:r>
        <w:t xml:space="preserve"> </w:t>
      </w:r>
      <w:r>
        <w:rPr>
          <w:rStyle w:val="VerbatimChar"/>
        </w:rPr>
        <w:t xml:space="preserve">prd.metadata-auxiliary-data</w:t>
      </w:r>
    </w:p>
    <w:bookmarkStart w:id="112" w:name="threshold-requirements-19"/>
    <w:p>
      <w:pPr>
        <w:pStyle w:val="berschrift5"/>
      </w:pPr>
      <w:r>
        <w:t xml:space="preserve">Threshold requirements:</w:t>
      </w:r>
    </w:p>
    <w:p>
      <w:pPr>
        <w:pStyle w:val="FirstParagraph"/>
      </w:pPr>
      <w:r>
        <w:t xml:space="preserve">Not required.</w:t>
      </w:r>
      <w:r>
        <w:t xml:space="preserve"> </w:t>
      </w:r>
    </w:p>
    <w:bookmarkEnd w:id="112"/>
    <w:bookmarkStart w:id="113" w:name="goal-requirements-19"/>
    <w:p>
      <w:pPr>
        <w:pStyle w:val="berschrift5"/>
      </w:pPr>
      <w:r>
        <w:t xml:space="preserve">Goal requirements:</w:t>
      </w:r>
    </w:p>
    <w:p>
      <w:pPr>
        <w:pStyle w:val="FirstParagraph"/>
      </w:pPr>
      <w:r>
        <w:t xml:space="preserve">The metadata identifies the sources of auxiliary data used in the generation process, ideally expressed as DOIs.</w:t>
      </w:r>
    </w:p>
    <w:p>
      <w:pPr>
        <w:pStyle w:val="Textkrper"/>
      </w:pPr>
      <w:r>
        <w:t xml:space="preserve">Notes:</w:t>
      </w:r>
    </w:p>
    <w:p>
      <w:pPr>
        <w:pStyle w:val="Compact"/>
        <w:numPr>
          <w:ilvl w:val="0"/>
          <w:numId w:val="1029"/>
        </w:numPr>
      </w:pPr>
      <w:r>
        <w:t xml:space="preserve">Auxiliary data includes DEMs, etc., and any additional data sources used in the generation of the product.</w:t>
      </w:r>
    </w:p>
    <w:bookmarkEnd w:id="113"/>
    <w:bookmarkStart w:id="114" w:name="assessment-19"/>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14"/>
    <w:bookmarkEnd w:id="115"/>
    <w:bookmarkStart w:id="119" w:name="sec:prd.metadata-sample-spacing"/>
    <w:p>
      <w:pPr>
        <w:pStyle w:val="berschrift4"/>
      </w:pPr>
      <w:r>
        <w:rPr>
          <w:rStyle w:val="VerbatimChar"/>
        </w:rPr>
        <w:t xml:space="preserve">3.3.</w:t>
      </w:r>
      <w:r>
        <w:t xml:space="preserve"> </w:t>
      </w:r>
      <w:r>
        <w:t xml:space="preserve">Product Sample Spacing</w:t>
      </w:r>
    </w:p>
    <w:p>
      <w:pPr>
        <w:pStyle w:val="FirstParagraph"/>
      </w:pPr>
      <w:r>
        <w:t xml:space="preserve">Identifier:</w:t>
      </w:r>
      <w:r>
        <w:t xml:space="preserve"> </w:t>
      </w:r>
      <w:r>
        <w:rPr>
          <w:rStyle w:val="VerbatimChar"/>
        </w:rPr>
        <w:t xml:space="preserve">prd.metadata-sample-spacing</w:t>
      </w:r>
    </w:p>
    <w:bookmarkStart w:id="116" w:name="threshold-requirements-20"/>
    <w:p>
      <w:pPr>
        <w:pStyle w:val="berschrift5"/>
      </w:pPr>
      <w:r>
        <w:t xml:space="preserve">Threshold requirements:</w:t>
      </w:r>
    </w:p>
    <w:p>
      <w:pPr>
        <w:pStyle w:val="FirstParagraph"/>
      </w:pPr>
      <w:r>
        <w:t xml:space="preserve">CEOS-ARD product processing parameters details:</w:t>
      </w:r>
    </w:p>
    <w:p>
      <w:pPr>
        <w:pStyle w:val="Compact"/>
        <w:numPr>
          <w:ilvl w:val="0"/>
          <w:numId w:val="1031"/>
        </w:numPr>
      </w:pPr>
      <w:r>
        <w:t xml:space="preserve">Pixel (column) spacing</w:t>
      </w:r>
    </w:p>
    <w:p>
      <w:pPr>
        <w:pStyle w:val="Compact"/>
        <w:numPr>
          <w:ilvl w:val="0"/>
          <w:numId w:val="1031"/>
        </w:numPr>
      </w:pPr>
      <w:r>
        <w:t xml:space="preserve">Line (row) spacing</w:t>
      </w:r>
    </w:p>
    <w:bookmarkEnd w:id="116"/>
    <w:bookmarkStart w:id="117" w:name="goal-requirements-20"/>
    <w:p>
      <w:pPr>
        <w:pStyle w:val="berschrift5"/>
      </w:pPr>
      <w:r>
        <w:t xml:space="preserve">Goal requirements:</w:t>
      </w:r>
    </w:p>
    <w:p>
      <w:pPr>
        <w:pStyle w:val="FirstParagraph"/>
      </w:pPr>
      <w:r>
        <w:t xml:space="preserve">As threshold.</w:t>
      </w:r>
      <w:r>
        <w:t xml:space="preserve"> </w:t>
      </w:r>
    </w:p>
    <w:bookmarkEnd w:id="117"/>
    <w:bookmarkStart w:id="118" w:name="assessment-20"/>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8"/>
    <w:bookmarkEnd w:id="119"/>
    <w:bookmarkStart w:id="123" w:name="sec:prd.metadata-enl"/>
    <w:p>
      <w:pPr>
        <w:pStyle w:val="berschrift4"/>
      </w:pPr>
      <w:r>
        <w:rPr>
          <w:rStyle w:val="VerbatimChar"/>
        </w:rPr>
        <w:t xml:space="preserve">3.4.</w:t>
      </w:r>
      <w:r>
        <w:t xml:space="preserve"> </w:t>
      </w:r>
      <w:r>
        <w:t xml:space="preserve">Product Equivalent Number of Looks</w:t>
      </w:r>
    </w:p>
    <w:p>
      <w:pPr>
        <w:pStyle w:val="FirstParagraph"/>
      </w:pPr>
      <w:r>
        <w:t xml:space="preserve">Identifier:</w:t>
      </w:r>
      <w:r>
        <w:t xml:space="preserve"> </w:t>
      </w:r>
      <w:r>
        <w:rPr>
          <w:rStyle w:val="VerbatimChar"/>
        </w:rPr>
        <w:t xml:space="preserve">prd.metadata-enl</w:t>
      </w:r>
    </w:p>
    <w:bookmarkStart w:id="120" w:name="threshold-requirements-21"/>
    <w:p>
      <w:pPr>
        <w:pStyle w:val="berschrift5"/>
      </w:pPr>
      <w:r>
        <w:t xml:space="preserve">Threshold requirements:</w:t>
      </w:r>
    </w:p>
    <w:p>
      <w:pPr>
        <w:pStyle w:val="FirstParagraph"/>
      </w:pPr>
      <w:r>
        <w:t xml:space="preserve">Not required.</w:t>
      </w:r>
      <w:r>
        <w:t xml:space="preserve"> </w:t>
      </w:r>
    </w:p>
    <w:bookmarkEnd w:id="120"/>
    <w:bookmarkStart w:id="121" w:name="goal-requirements-21"/>
    <w:p>
      <w:pPr>
        <w:pStyle w:val="berschrift5"/>
      </w:pPr>
      <w:r>
        <w:t xml:space="preserve">Goal requirements:</w:t>
      </w:r>
    </w:p>
    <w:p>
      <w:pPr>
        <w:pStyle w:val="FirstParagraph"/>
      </w:pPr>
      <w:r>
        <w:t xml:space="preserve">Equivalent Number of Looks (ENL)</w:t>
      </w:r>
    </w:p>
    <w:bookmarkEnd w:id="121"/>
    <w:bookmarkStart w:id="122" w:name="assessment-21"/>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22"/>
    <w:bookmarkEnd w:id="123"/>
    <w:bookmarkStart w:id="127" w:name="sec:prd.metadata-resolution"/>
    <w:p>
      <w:pPr>
        <w:pStyle w:val="berschrift4"/>
      </w:pPr>
      <w:r>
        <w:rPr>
          <w:rStyle w:val="VerbatimChar"/>
        </w:rPr>
        <w:t xml:space="preserve">3.5.</w:t>
      </w:r>
      <w:r>
        <w:t xml:space="preserve"> </w:t>
      </w:r>
      <w:r>
        <w:t xml:space="preserve">Product Resolution</w:t>
      </w:r>
    </w:p>
    <w:p>
      <w:pPr>
        <w:pStyle w:val="FirstParagraph"/>
      </w:pPr>
      <w:r>
        <w:t xml:space="preserve">Identifier:</w:t>
      </w:r>
      <w:r>
        <w:t xml:space="preserve"> </w:t>
      </w:r>
      <w:r>
        <w:rPr>
          <w:rStyle w:val="VerbatimChar"/>
        </w:rPr>
        <w:t xml:space="preserve">prd.metadata-resolution</w:t>
      </w:r>
    </w:p>
    <w:bookmarkStart w:id="124" w:name="threshold-requirements-22"/>
    <w:p>
      <w:pPr>
        <w:pStyle w:val="berschrift5"/>
      </w:pPr>
      <w:r>
        <w:t xml:space="preserve">Threshold requirements:</w:t>
      </w:r>
    </w:p>
    <w:p>
      <w:pPr>
        <w:pStyle w:val="FirstParagraph"/>
      </w:pPr>
      <w:r>
        <w:t xml:space="preserve">Not required.</w:t>
      </w:r>
      <w:r>
        <w:t xml:space="preserve"> </w:t>
      </w:r>
    </w:p>
    <w:bookmarkEnd w:id="124"/>
    <w:bookmarkStart w:id="125" w:name="goal-requirements-22"/>
    <w:p>
      <w:pPr>
        <w:pStyle w:val="berschrift5"/>
      </w:pPr>
      <w:r>
        <w:t xml:space="preserve">Goal requirements:</w:t>
      </w:r>
    </w:p>
    <w:p>
      <w:pPr>
        <w:pStyle w:val="FirstParagraph"/>
      </w:pPr>
      <w:r>
        <w:t xml:space="preserve">Average spatial resolution of the CEOS-ARD product along:</w:t>
      </w:r>
    </w:p>
    <w:p>
      <w:pPr>
        <w:pStyle w:val="Compact"/>
        <w:numPr>
          <w:ilvl w:val="0"/>
          <w:numId w:val="1034"/>
        </w:numPr>
      </w:pPr>
      <w:r>
        <w:t xml:space="preserve">Columns</w:t>
      </w:r>
    </w:p>
    <w:p>
      <w:pPr>
        <w:pStyle w:val="Compact"/>
        <w:numPr>
          <w:ilvl w:val="0"/>
          <w:numId w:val="1034"/>
        </w:numPr>
      </w:pPr>
      <w:r>
        <w:t xml:space="preserve">Rows</w:t>
      </w:r>
    </w:p>
    <w:bookmarkEnd w:id="125"/>
    <w:bookmarkStart w:id="126"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6"/>
    <w:bookmarkEnd w:id="127"/>
    <w:bookmarkStart w:id="131" w:name="sec:prd.metadata-speckle-filtering-pol"/>
    <w:p>
      <w:pPr>
        <w:pStyle w:val="berschrift4"/>
      </w:pPr>
      <w:r>
        <w:rPr>
          <w:rStyle w:val="VerbatimChar"/>
        </w:rPr>
        <w:t xml:space="preserve">3.6.</w:t>
      </w:r>
      <w:r>
        <w:t xml:space="preserve"> </w:t>
      </w:r>
      <w:r>
        <w:t xml:space="preserve">Product Filtering</w:t>
      </w:r>
    </w:p>
    <w:p>
      <w:pPr>
        <w:pStyle w:val="FirstParagraph"/>
      </w:pPr>
      <w:r>
        <w:t xml:space="preserve">Identifier:</w:t>
      </w:r>
      <w:r>
        <w:t xml:space="preserve"> </w:t>
      </w:r>
      <w:r>
        <w:rPr>
          <w:rStyle w:val="VerbatimChar"/>
        </w:rPr>
        <w:t xml:space="preserve">prd.metadata-speckle-filtering-pol</w:t>
      </w:r>
    </w:p>
    <w:bookmarkStart w:id="128" w:name="threshold-requirements-23"/>
    <w:p>
      <w:pPr>
        <w:pStyle w:val="berschrift5"/>
      </w:pPr>
      <w:r>
        <w:t xml:space="preserve">Threshold requirements:</w:t>
      </w:r>
    </w:p>
    <w:p>
      <w:pPr>
        <w:pStyle w:val="FirstParagraph"/>
      </w:pPr>
      <w:r>
        <w:t xml:space="preserve">Flag if speckle filter has been applied (True/False).</w:t>
      </w:r>
    </w:p>
    <w:p>
      <w:pPr>
        <w:pStyle w:val="Textkrper"/>
      </w:pPr>
      <w:r>
        <w:t xml:space="preserve">Metadata should include:</w:t>
      </w:r>
    </w:p>
    <w:p>
      <w:pPr>
        <w:pStyle w:val="Compact"/>
        <w:numPr>
          <w:ilvl w:val="0"/>
          <w:numId w:val="1036"/>
        </w:numPr>
      </w:pPr>
      <w:r>
        <w:t xml:space="preserve">Reference to algorithm as DOI or URL</w:t>
      </w:r>
    </w:p>
    <w:p>
      <w:pPr>
        <w:pStyle w:val="Compact"/>
        <w:numPr>
          <w:ilvl w:val="0"/>
          <w:numId w:val="1036"/>
        </w:numPr>
      </w:pPr>
      <w:r>
        <w:t xml:space="preserve">Input filtering parameters</w:t>
      </w:r>
    </w:p>
    <w:p>
      <w:pPr>
        <w:pStyle w:val="Compact"/>
        <w:numPr>
          <w:ilvl w:val="1"/>
          <w:numId w:val="1037"/>
        </w:numPr>
      </w:pPr>
      <w:r>
        <w:t xml:space="preserve">Type</w:t>
      </w:r>
    </w:p>
    <w:p>
      <w:pPr>
        <w:pStyle w:val="Compact"/>
        <w:numPr>
          <w:ilvl w:val="1"/>
          <w:numId w:val="1037"/>
        </w:numPr>
      </w:pPr>
      <w:r>
        <w:t xml:space="preserve">Window size in pixel units</w:t>
      </w:r>
    </w:p>
    <w:p>
      <w:pPr>
        <w:pStyle w:val="Compact"/>
        <w:numPr>
          <w:ilvl w:val="1"/>
          <w:numId w:val="1037"/>
        </w:numPr>
      </w:pPr>
      <w:r>
        <w:t xml:space="preserve">Any other parameters defining the speckle filter used</w:t>
      </w:r>
    </w:p>
    <w:p>
      <w:pPr>
        <w:pStyle w:val="FirstParagraph"/>
      </w:pPr>
      <w:r>
        <w:t xml:space="preserve">Advanced polarimetric filter preserving covariance matrix properties should be applied.</w:t>
      </w:r>
    </w:p>
    <w:bookmarkEnd w:id="128"/>
    <w:bookmarkStart w:id="129" w:name="goal-requirements-23"/>
    <w:p>
      <w:pPr>
        <w:pStyle w:val="berschrift5"/>
      </w:pPr>
      <w:r>
        <w:t xml:space="preserve">Goal requirements:</w:t>
      </w:r>
    </w:p>
    <w:p>
      <w:pPr>
        <w:pStyle w:val="FirstParagraph"/>
      </w:pPr>
      <w:r>
        <w:t xml:space="preserve">As threshold.</w:t>
      </w:r>
      <w:r>
        <w:t xml:space="preserve"> </w:t>
      </w:r>
    </w:p>
    <w:bookmarkEnd w:id="129"/>
    <w:bookmarkStart w:id="130" w:name="assessment-23"/>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0"/>
    <w:bookmarkEnd w:id="131"/>
    <w:bookmarkStart w:id="135" w:name="sec:prd.metadata-geo-bbox"/>
    <w:p>
      <w:pPr>
        <w:pStyle w:val="berschrift4"/>
      </w:pPr>
      <w:r>
        <w:rPr>
          <w:rStyle w:val="VerbatimChar"/>
        </w:rPr>
        <w:t xml:space="preserve">3.7.</w:t>
      </w:r>
      <w:r>
        <w:t xml:space="preserve"> </w:t>
      </w:r>
      <w:r>
        <w:t xml:space="preserve">Product Bounding Box</w:t>
      </w:r>
    </w:p>
    <w:p>
      <w:pPr>
        <w:pStyle w:val="FirstParagraph"/>
      </w:pPr>
      <w:r>
        <w:t xml:space="preserve">Identifier:</w:t>
      </w:r>
      <w:r>
        <w:t xml:space="preserve"> </w:t>
      </w:r>
      <w:r>
        <w:rPr>
          <w:rStyle w:val="VerbatimChar"/>
        </w:rPr>
        <w:t xml:space="preserve">prd.metadata-geo-bbox</w:t>
      </w:r>
    </w:p>
    <w:bookmarkStart w:id="132" w:name="threshold-requirements-24"/>
    <w:p>
      <w:pPr>
        <w:pStyle w:val="berschrift5"/>
      </w:pPr>
      <w:r>
        <w:t xml:space="preserve">Threshold requirements:</w:t>
      </w:r>
    </w:p>
    <w:p>
      <w:pPr>
        <w:pStyle w:val="FirstParagraph"/>
      </w:pPr>
      <w:r>
        <w:t xml:space="preserve">Two opposite corners of the product file (bounding box, including any zero-fill values) are identified,</w:t>
      </w:r>
      <w:r>
        <w:t xml:space="preserve"> </w:t>
      </w:r>
      <w:r>
        <w:t xml:space="preserve">expressed in the coordinate reference system defined in Section </w:t>
      </w:r>
      <w:r>
        <w:t xml:space="preserve">“</w:t>
      </w:r>
      <w:hyperlink w:anchor="sec:prd.metadata-crs">
        <w:r>
          <w:rPr>
            <w:rStyle w:val="Hyperlink"/>
          </w:rPr>
          <w:t xml:space="preserve">Product Metadata: Product Coordinate Reference System</w:t>
        </w:r>
      </w:hyperlink>
      <w:r>
        <w:t xml:space="preserve">”</w:t>
      </w:r>
      <w:r>
        <w:t xml:space="preserve">.</w:t>
      </w:r>
    </w:p>
    <w:p>
      <w:pPr>
        <w:pStyle w:val="Textkrper"/>
      </w:pPr>
      <w:r>
        <w:t xml:space="preserve">Notes:</w:t>
      </w:r>
    </w:p>
    <w:p>
      <w:pPr>
        <w:pStyle w:val="Compact"/>
        <w:numPr>
          <w:ilvl w:val="0"/>
          <w:numId w:val="1039"/>
        </w:numPr>
      </w:pPr>
      <w:r>
        <w:t xml:space="preserve">Four corners of the product file are recommended for scenes crossing the Antemeridian, or the North or the South Pole.</w:t>
      </w:r>
    </w:p>
    <w:bookmarkEnd w:id="132"/>
    <w:bookmarkStart w:id="133" w:name="goal-requirements-24"/>
    <w:p>
      <w:pPr>
        <w:pStyle w:val="berschrift5"/>
      </w:pPr>
      <w:r>
        <w:t xml:space="preserve">Goal requirements:</w:t>
      </w:r>
    </w:p>
    <w:p>
      <w:pPr>
        <w:pStyle w:val="FirstParagraph"/>
      </w:pPr>
      <w:r>
        <w:t xml:space="preserve">As threshold.</w:t>
      </w:r>
      <w:r>
        <w:t xml:space="preserve"> </w:t>
      </w:r>
    </w:p>
    <w:bookmarkEnd w:id="133"/>
    <w:bookmarkStart w:id="134" w:name="assessment-24"/>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34"/>
    <w:bookmarkEnd w:id="135"/>
    <w:bookmarkStart w:id="139" w:name="sec:prd.metadata-geo-area"/>
    <w:p>
      <w:pPr>
        <w:pStyle w:val="berschrift4"/>
      </w:pPr>
      <w:r>
        <w:rPr>
          <w:rStyle w:val="VerbatimChar"/>
        </w:rPr>
        <w:t xml:space="preserve">3.8.</w:t>
      </w:r>
      <w:r>
        <w:t xml:space="preserve"> </w:t>
      </w:r>
      <w:r>
        <w:t xml:space="preserve">Product Geographical Extent</w:t>
      </w:r>
    </w:p>
    <w:p>
      <w:pPr>
        <w:pStyle w:val="FirstParagraph"/>
      </w:pPr>
      <w:r>
        <w:t xml:space="preserve">Identifier:</w:t>
      </w:r>
      <w:r>
        <w:t xml:space="preserve"> </w:t>
      </w:r>
      <w:r>
        <w:rPr>
          <w:rStyle w:val="VerbatimChar"/>
        </w:rPr>
        <w:t xml:space="preserve">prd.metadata-geo-area</w:t>
      </w:r>
    </w:p>
    <w:bookmarkStart w:id="136" w:name="threshold-requirements-25"/>
    <w:p>
      <w:pPr>
        <w:pStyle w:val="berschrift5"/>
      </w:pPr>
      <w:r>
        <w:t xml:space="preserve">Threshold requirements:</w:t>
      </w:r>
    </w:p>
    <w:p>
      <w:pPr>
        <w:pStyle w:val="FirstParagraph"/>
      </w:pPr>
      <w:r>
        <w:t xml:space="preserve">The geometry of the SAR image footprint expressed in WGS84, in a standardised format (e.g., WKT Polygon).</w:t>
      </w:r>
    </w:p>
    <w:bookmarkEnd w:id="136"/>
    <w:bookmarkStart w:id="137" w:name="goal-requirements-25"/>
    <w:p>
      <w:pPr>
        <w:pStyle w:val="berschrift5"/>
      </w:pPr>
      <w:r>
        <w:t xml:space="preserve">Goal requirements:</w:t>
      </w:r>
    </w:p>
    <w:p>
      <w:pPr>
        <w:pStyle w:val="FirstParagraph"/>
      </w:pPr>
      <w:r>
        <w:t xml:space="preserve">As threshold.</w:t>
      </w:r>
      <w:r>
        <w:t xml:space="preserve"> </w:t>
      </w:r>
    </w:p>
    <w:bookmarkEnd w:id="137"/>
    <w:bookmarkStart w:id="138" w:name="assessment-25"/>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38"/>
    <w:bookmarkEnd w:id="139"/>
    <w:bookmarkStart w:id="143" w:name="sec:prd.metadata-image-size"/>
    <w:p>
      <w:pPr>
        <w:pStyle w:val="berschrift4"/>
      </w:pPr>
      <w:r>
        <w:rPr>
          <w:rStyle w:val="VerbatimChar"/>
        </w:rPr>
        <w:t xml:space="preserve">3.9.</w:t>
      </w:r>
      <w:r>
        <w:t xml:space="preserve"> </w:t>
      </w:r>
      <w:r>
        <w:t xml:space="preserve">Product Image Size</w:t>
      </w:r>
    </w:p>
    <w:p>
      <w:pPr>
        <w:pStyle w:val="FirstParagraph"/>
      </w:pPr>
      <w:r>
        <w:t xml:space="preserve">Identifier:</w:t>
      </w:r>
      <w:r>
        <w:t xml:space="preserve"> </w:t>
      </w:r>
      <w:r>
        <w:rPr>
          <w:rStyle w:val="VerbatimChar"/>
        </w:rPr>
        <w:t xml:space="preserve">prd.metadata-image-size</w:t>
      </w:r>
    </w:p>
    <w:bookmarkStart w:id="140" w:name="threshold-requirements-26"/>
    <w:p>
      <w:pPr>
        <w:pStyle w:val="berschrift5"/>
      </w:pPr>
      <w:r>
        <w:t xml:space="preserve">Threshold requirements:</w:t>
      </w:r>
    </w:p>
    <w:p>
      <w:pPr>
        <w:pStyle w:val="FirstParagraph"/>
      </w:pPr>
      <w:r>
        <w:t xml:space="preserve">Image attributes of the CEOS-ARD product:</w:t>
      </w:r>
    </w:p>
    <w:p>
      <w:pPr>
        <w:pStyle w:val="Compact"/>
        <w:numPr>
          <w:ilvl w:val="0"/>
          <w:numId w:val="1042"/>
        </w:numPr>
      </w:pPr>
      <w:r>
        <w:t xml:space="preserve">Number of lines</w:t>
      </w:r>
    </w:p>
    <w:p>
      <w:pPr>
        <w:pStyle w:val="Compact"/>
        <w:numPr>
          <w:ilvl w:val="0"/>
          <w:numId w:val="1042"/>
        </w:numPr>
      </w:pPr>
      <w:r>
        <w:t xml:space="preserve">Number of pixels per line</w:t>
      </w:r>
    </w:p>
    <w:p>
      <w:pPr>
        <w:pStyle w:val="Compact"/>
        <w:numPr>
          <w:ilvl w:val="0"/>
          <w:numId w:val="1042"/>
        </w:numPr>
      </w:pPr>
      <w:r>
        <w:t xml:space="preserve">File header size (if applicable)</w:t>
      </w:r>
    </w:p>
    <w:p>
      <w:pPr>
        <w:pStyle w:val="Compact"/>
        <w:numPr>
          <w:ilvl w:val="0"/>
          <w:numId w:val="1042"/>
        </w:numPr>
      </w:pPr>
      <w:r>
        <w:t xml:space="preserve">Number of no-data border pixels (if applicable)</w:t>
      </w:r>
    </w:p>
    <w:bookmarkEnd w:id="140"/>
    <w:bookmarkStart w:id="141" w:name="goal-requirements-26"/>
    <w:p>
      <w:pPr>
        <w:pStyle w:val="berschrift5"/>
      </w:pPr>
      <w:r>
        <w:t xml:space="preserve">Goal requirements:</w:t>
      </w:r>
    </w:p>
    <w:p>
      <w:pPr>
        <w:pStyle w:val="FirstParagraph"/>
      </w:pPr>
      <w:r>
        <w:t xml:space="preserve">As threshold.</w:t>
      </w:r>
      <w:r>
        <w:t xml:space="preserve"> </w:t>
      </w:r>
    </w:p>
    <w:bookmarkEnd w:id="141"/>
    <w:bookmarkStart w:id="142" w:name="assessment-26"/>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42"/>
    <w:bookmarkEnd w:id="143"/>
    <w:bookmarkStart w:id="147" w:name="Xec46cf7db597e44ff2abc275345728e361b06e7"/>
    <w:p>
      <w:pPr>
        <w:pStyle w:val="berschrift4"/>
      </w:pPr>
      <w:r>
        <w:rPr>
          <w:rStyle w:val="VerbatimChar"/>
        </w:rPr>
        <w:t xml:space="preserve">3.10.</w:t>
      </w:r>
      <w:r>
        <w:t xml:space="preserve"> </w:t>
      </w:r>
      <w:r>
        <w:t xml:space="preserve">Product Pixel Coordinate Convention</w:t>
      </w:r>
    </w:p>
    <w:p>
      <w:pPr>
        <w:pStyle w:val="FirstParagraph"/>
      </w:pPr>
      <w:r>
        <w:t xml:space="preserve">Identifier:</w:t>
      </w:r>
      <w:r>
        <w:t xml:space="preserve"> </w:t>
      </w:r>
      <w:r>
        <w:rPr>
          <w:rStyle w:val="VerbatimChar"/>
        </w:rPr>
        <w:t xml:space="preserve">prd.metadata-pixel-coordinate-convention</w:t>
      </w:r>
    </w:p>
    <w:bookmarkStart w:id="144" w:name="threshold-requirements-27"/>
    <w:p>
      <w:pPr>
        <w:pStyle w:val="berschrift5"/>
      </w:pPr>
      <w:r>
        <w:t xml:space="preserve">Threshold requirements:</w:t>
      </w:r>
    </w:p>
    <w:p>
      <w:pPr>
        <w:pStyle w:val="FirstParagraph"/>
      </w:pPr>
      <w:r>
        <w:t xml:space="preserve">Coordinate referring to the centre, the upper left corner, or the lower left corner of a pixel.</w:t>
      </w:r>
      <w:r>
        <w:t xml:space="preserve"> </w:t>
      </w:r>
      <w:r>
        <w:t xml:space="preserve">Values are [pixel centre, pixel ULC or pixel LLC].</w:t>
      </w:r>
    </w:p>
    <w:bookmarkEnd w:id="144"/>
    <w:bookmarkStart w:id="145" w:name="goal-requirements-27"/>
    <w:p>
      <w:pPr>
        <w:pStyle w:val="berschrift5"/>
      </w:pPr>
      <w:r>
        <w:t xml:space="preserve">Goal requirements:</w:t>
      </w:r>
    </w:p>
    <w:p>
      <w:pPr>
        <w:pStyle w:val="FirstParagraph"/>
      </w:pPr>
      <w:r>
        <w:t xml:space="preserve">As threshold.</w:t>
      </w:r>
      <w:r>
        <w:t xml:space="preserve"> </w:t>
      </w:r>
    </w:p>
    <w:bookmarkEnd w:id="145"/>
    <w:bookmarkStart w:id="146" w:name="assessment-27"/>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46"/>
    <w:bookmarkEnd w:id="147"/>
    <w:bookmarkStart w:id="151" w:name="sec:prd.metadata-crs"/>
    <w:p>
      <w:pPr>
        <w:pStyle w:val="berschrift4"/>
      </w:pPr>
      <w:r>
        <w:rPr>
          <w:rStyle w:val="VerbatimChar"/>
        </w:rPr>
        <w:t xml:space="preserve">3.11.</w:t>
      </w:r>
      <w:r>
        <w:t xml:space="preserve"> </w:t>
      </w:r>
      <w:r>
        <w:t xml:space="preserve">Product Coordinate Reference System</w:t>
      </w:r>
    </w:p>
    <w:p>
      <w:pPr>
        <w:pStyle w:val="FirstParagraph"/>
      </w:pPr>
      <w:r>
        <w:t xml:space="preserve">Identifier:</w:t>
      </w:r>
      <w:r>
        <w:t xml:space="preserve"> </w:t>
      </w:r>
      <w:r>
        <w:rPr>
          <w:rStyle w:val="VerbatimChar"/>
        </w:rPr>
        <w:t xml:space="preserve">prd.metadata-crs</w:t>
      </w:r>
    </w:p>
    <w:bookmarkStart w:id="148" w:name="threshold-requirements-28"/>
    <w:p>
      <w:pPr>
        <w:pStyle w:val="berschrift5"/>
      </w:pPr>
      <w:r>
        <w:t xml:space="preserve">Threshold requirements:</w:t>
      </w:r>
    </w:p>
    <w:p>
      <w:pPr>
        <w:pStyle w:val="FirstParagraph"/>
      </w:pPr>
      <w:r>
        <w:t xml:space="preserve">The metadata lists the map projection (or geographical coordinates, if applicable) that was used and any relevant parameters required to geolocate data in that map projection, expressed in a standardised format (e.g., WKT).</w:t>
      </w:r>
      <w:r>
        <w:br/>
      </w:r>
      <w:r>
        <w:t xml:space="preserve">Indicate EPSG code, if defined for the CRS.</w:t>
      </w:r>
    </w:p>
    <w:bookmarkEnd w:id="148"/>
    <w:bookmarkStart w:id="149" w:name="goal-requirements-28"/>
    <w:p>
      <w:pPr>
        <w:pStyle w:val="berschrift5"/>
      </w:pPr>
      <w:r>
        <w:t xml:space="preserve">Goal requirements:</w:t>
      </w:r>
    </w:p>
    <w:p>
      <w:pPr>
        <w:pStyle w:val="FirstParagraph"/>
      </w:pPr>
      <w:r>
        <w:t xml:space="preserve">As threshold.</w:t>
      </w:r>
      <w:r>
        <w:t xml:space="preserve"> </w:t>
      </w:r>
    </w:p>
    <w:bookmarkEnd w:id="149"/>
    <w:bookmarkStart w:id="150" w:name="assessment-28"/>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pict>
          <v:rect style="width:0;height:1.5pt" o:hralign="center" o:hrstd="t" o:hr="t"/>
        </w:pict>
      </w:r>
    </w:p>
    <w:bookmarkEnd w:id="150"/>
    <w:bookmarkEnd w:id="151"/>
    <w:bookmarkStart w:id="155" w:name="sec:prd.metadata-orbit-reference-nrb-pol"/>
    <w:p>
      <w:pPr>
        <w:pStyle w:val="berschrift4"/>
      </w:pPr>
      <w:r>
        <w:rPr>
          <w:rStyle w:val="VerbatimChar"/>
        </w:rPr>
        <w:t xml:space="preserve">3.12.</w:t>
      </w:r>
      <w:r>
        <w:t xml:space="preserve"> </w:t>
      </w:r>
      <w:r>
        <w:t xml:space="preserve">Reference Orbit</w:t>
      </w:r>
    </w:p>
    <w:p>
      <w:pPr>
        <w:pStyle w:val="FirstParagraph"/>
      </w:pPr>
      <w:r>
        <w:t xml:space="preserve">Identifier:</w:t>
      </w:r>
      <w:r>
        <w:t xml:space="preserve"> </w:t>
      </w:r>
      <w:r>
        <w:rPr>
          <w:rStyle w:val="VerbatimChar"/>
        </w:rPr>
        <w:t xml:space="preserve">prd.metadata-orbit-reference-nrb-pol</w:t>
      </w:r>
    </w:p>
    <w:p>
      <w:pPr>
        <w:pStyle w:val="Textkrper"/>
      </w:pPr>
      <w:r>
        <w:rPr>
          <w:b/>
          <w:bCs/>
        </w:rPr>
        <w:t xml:space="preserve">Usage: Only when Flattened phase per-pixel metadata (see Section </w:t>
      </w:r>
      <w:r>
        <w:rPr>
          <w:b/>
          <w:bCs/>
        </w:rPr>
        <w:t xml:space="preserve">“</w:t>
      </w:r>
      <w:hyperlink w:anchor="sec:rcm.measurements-flattened-phase">
        <w:r>
          <w:rPr>
            <w:rStyle w:val="Hyperlink"/>
            <w:b/>
            <w:bCs/>
          </w:rPr>
          <w:t xml:space="preserve">Radiometrically Corrected Measurements: Flattened Phase</w:t>
        </w:r>
      </w:hyperlink>
      <w:r>
        <w:rPr>
          <w:b/>
          <w:bCs/>
        </w:rPr>
        <w:t xml:space="preserve">”</w:t>
      </w:r>
      <w:r>
        <w:rPr>
          <w:b/>
          <w:bCs/>
        </w:rPr>
        <w:t xml:space="preserve">) is provided.</w:t>
      </w:r>
    </w:p>
    <w:bookmarkStart w:id="152" w:name="threshold-requirements-29"/>
    <w:p>
      <w:pPr>
        <w:pStyle w:val="berschrift5"/>
      </w:pPr>
      <w:r>
        <w:t xml:space="preserve">Threshold requirements:</w:t>
      </w:r>
    </w:p>
    <w:p>
      <w:pPr>
        <w:pStyle w:val="FirstParagraph"/>
      </w:pPr>
      <w:r>
        <w:t xml:space="preserve">Not required.</w:t>
      </w:r>
      <w:r>
        <w:t xml:space="preserve"> </w:t>
      </w:r>
    </w:p>
    <w:bookmarkEnd w:id="152"/>
    <w:bookmarkStart w:id="153" w:name="goal-requirements-29"/>
    <w:p>
      <w:pPr>
        <w:pStyle w:val="berschrift5"/>
      </w:pPr>
      <w:r>
        <w:t xml:space="preserve">Goal requirements:</w:t>
      </w:r>
    </w:p>
    <w:p>
      <w:pPr>
        <w:pStyle w:val="FirstParagraph"/>
      </w:pPr>
      <w:r>
        <w:t xml:space="preserve">Provide the absolute orbit number used as reference for topographic phase flattening.</w:t>
      </w:r>
      <w:r>
        <w:t xml:space="preserve"> </w:t>
      </w:r>
      <w:r>
        <w:t xml:space="preserve">In case a virtual orbit has been used, provide orbit parameters or orbit state vectors as DOI or URL.</w:t>
      </w:r>
    </w:p>
    <w:p>
      <w:pPr>
        <w:pStyle w:val="Textkrper"/>
      </w:pPr>
      <w:r>
        <w:t xml:space="preserve">Provide scene-centred perpendicular baseline for the for the source data relative to the reference orbit used (for approximate use only).</w:t>
      </w:r>
    </w:p>
    <w:bookmarkEnd w:id="153"/>
    <w:bookmarkStart w:id="154" w:name="assessment-29"/>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bookmarkEnd w:id="154"/>
    <w:bookmarkEnd w:id="155"/>
    <w:bookmarkEnd w:id="156"/>
    <w:bookmarkStart w:id="193" w:name="sec:pxl"/>
    <w:p>
      <w:pPr>
        <w:pStyle w:val="berschrift3"/>
      </w:pPr>
      <w:r>
        <w:rPr>
          <w:rStyle w:val="VerbatimChar"/>
        </w:rPr>
        <w:t xml:space="preserve">4.</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p>
      <w:pPr>
        <w:pStyle w:val="Textkrper"/>
      </w:pPr>
      <w:r>
        <w:rPr>
          <w:i/>
          <w:iCs/>
        </w:rPr>
        <w:t xml:space="preserve">Cloud optimized file formats are recommended.</w:t>
      </w:r>
    </w:p>
    <w:bookmarkStart w:id="160" w:name="sec:pxl.metadata-machine-readability"/>
    <w:p>
      <w:pPr>
        <w:pStyle w:val="berschrift4"/>
      </w:pPr>
      <w:r>
        <w:rPr>
          <w:rStyle w:val="VerbatimChar"/>
        </w:rPr>
        <w:t xml:space="preserve">4.1.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w:t>
      </w:r>
    </w:p>
    <w:bookmarkStart w:id="157" w:name="threshold-requirements-30"/>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component/variable/layer for further use.</w:t>
      </w:r>
    </w:p>
    <w:bookmarkEnd w:id="157"/>
    <w:bookmarkStart w:id="158" w:name="goal-requirements-30"/>
    <w:p>
      <w:pPr>
        <w:pStyle w:val="berschrift5"/>
      </w:pPr>
      <w:r>
        <w:t xml:space="preserve">Goal requirements:</w:t>
      </w:r>
    </w:p>
    <w:p>
      <w:pPr>
        <w:pStyle w:val="FirstParagraph"/>
      </w:pPr>
      <w:r>
        <w:t xml:space="preserve">As threshold, but metadata is formatted in accordance with CEOS-ARD SAR Metadata Specifications, v.1.1, or in a community endorsed standard that facilitates machine-readability, such as ISO 19115-2, Climate and Forecast (CF) convention, the Attribute Convention for Data Discovery (ACDD), etc.</w:t>
      </w:r>
    </w:p>
    <w:bookmarkEnd w:id="158"/>
    <w:bookmarkStart w:id="159" w:name="assessment-30"/>
    <w:p>
      <w:pPr>
        <w:pStyle w:val="berschrift5"/>
      </w:pPr>
      <w:r>
        <w:t xml:space="preserve">Assessment:</w:t>
      </w:r>
    </w:p>
    <w:p>
      <w:pPr>
        <w:pStyle w:val="Compact"/>
        <w:numPr>
          <w:ilvl w:val="0"/>
          <w:numId w:val="1047"/>
        </w:numPr>
      </w:pPr>
      <w:r>
        <w:t xml:space="preserve">Threshold Self-Assessment:</w:t>
      </w:r>
    </w:p>
    <w:p>
      <w:pPr>
        <w:pStyle w:val="Compact"/>
        <w:numPr>
          <w:ilvl w:val="0"/>
          <w:numId w:val="1047"/>
        </w:numPr>
      </w:pPr>
      <w:r>
        <w:t xml:space="preserve">Goal Self-Assessment:</w:t>
      </w:r>
    </w:p>
    <w:p>
      <w:pPr>
        <w:pStyle w:val="Compact"/>
        <w:numPr>
          <w:ilvl w:val="0"/>
          <w:numId w:val="1047"/>
        </w:numPr>
      </w:pPr>
      <w:r>
        <w:t xml:space="preserve">Self-Assessment Explanation/ Justification:</w:t>
      </w:r>
    </w:p>
    <w:p>
      <w:pPr>
        <w:pStyle w:val="Compact"/>
        <w:numPr>
          <w:ilvl w:val="0"/>
          <w:numId w:val="1047"/>
        </w:numPr>
      </w:pPr>
      <w:r>
        <w:t xml:space="preserve">Recommended Requirement Modification:</w:t>
      </w:r>
    </w:p>
    <w:p>
      <w:r>
        <w:pict>
          <v:rect style="width:0;height:1.5pt" o:hralign="center" o:hrstd="t" o:hr="t"/>
        </w:pict>
      </w:r>
    </w:p>
    <w:bookmarkEnd w:id="159"/>
    <w:bookmarkEnd w:id="160"/>
    <w:bookmarkStart w:id="164" w:name="sec:pxl.per-pixel-data-mask"/>
    <w:p>
      <w:pPr>
        <w:pStyle w:val="berschrift4"/>
      </w:pPr>
      <w:r>
        <w:rPr>
          <w:rStyle w:val="VerbatimChar"/>
        </w:rPr>
        <w:t xml:space="preserve">4.2.</w:t>
      </w:r>
      <w:r>
        <w:t xml:space="preserve"> </w:t>
      </w:r>
      <w:r>
        <w:t xml:space="preserve">Data Mask Image</w:t>
      </w:r>
    </w:p>
    <w:p>
      <w:pPr>
        <w:pStyle w:val="FirstParagraph"/>
      </w:pPr>
      <w:r>
        <w:t xml:space="preserve">Identifier:</w:t>
      </w:r>
      <w:r>
        <w:t xml:space="preserve"> </w:t>
      </w:r>
      <w:r>
        <w:rPr>
          <w:rStyle w:val="VerbatimChar"/>
        </w:rPr>
        <w:t xml:space="preserve">pxl.per-pixel-data-mask</w:t>
      </w:r>
    </w:p>
    <w:bookmarkStart w:id="161" w:name="threshold-requirements-31"/>
    <w:p>
      <w:pPr>
        <w:pStyle w:val="berschrift5"/>
      </w:pPr>
      <w:r>
        <w:t xml:space="preserve">Threshold requirements:</w:t>
      </w:r>
    </w:p>
    <w:p>
      <w:pPr>
        <w:pStyle w:val="FirstParagraph"/>
      </w:pPr>
      <w:r>
        <w:t xml:space="preserve">Mask image indicating:</w:t>
      </w:r>
    </w:p>
    <w:p>
      <w:pPr>
        <w:pStyle w:val="Compact"/>
        <w:numPr>
          <w:ilvl w:val="0"/>
          <w:numId w:val="1048"/>
        </w:numPr>
      </w:pPr>
      <w:r>
        <w:t xml:space="preserve">Valid data</w:t>
      </w:r>
    </w:p>
    <w:p>
      <w:pPr>
        <w:pStyle w:val="Compact"/>
        <w:numPr>
          <w:ilvl w:val="0"/>
          <w:numId w:val="1048"/>
        </w:numPr>
      </w:pPr>
      <w:r>
        <w:t xml:space="preserve">Invalid data</w:t>
      </w:r>
    </w:p>
    <w:p>
      <w:pPr>
        <w:pStyle w:val="Compact"/>
        <w:numPr>
          <w:ilvl w:val="0"/>
          <w:numId w:val="1048"/>
        </w:numPr>
      </w:pPr>
      <w:r>
        <w:t xml:space="preserve">No data</w:t>
      </w:r>
    </w:p>
    <w:p>
      <w:pPr>
        <w:pStyle w:val="FirstParagraph"/>
      </w:pPr>
      <w:r>
        <w:t xml:space="preserve">File format specifications/contents provided in metadata:</w:t>
      </w:r>
    </w:p>
    <w:p>
      <w:pPr>
        <w:pStyle w:val="Compact"/>
        <w:numPr>
          <w:ilvl w:val="0"/>
          <w:numId w:val="1049"/>
        </w:numPr>
      </w:pPr>
      <w:r>
        <w:t xml:space="preserve">Sample Type (Mask)</w:t>
      </w:r>
    </w:p>
    <w:p>
      <w:pPr>
        <w:pStyle w:val="Compact"/>
        <w:numPr>
          <w:ilvl w:val="0"/>
          <w:numId w:val="1049"/>
        </w:numPr>
      </w:pPr>
      <w:r>
        <w:t xml:space="preserve">Data Format (GeoTIFF, HDF5, NetCDF, …)</w:t>
      </w:r>
    </w:p>
    <w:p>
      <w:pPr>
        <w:pStyle w:val="Compact"/>
        <w:numPr>
          <w:ilvl w:val="0"/>
          <w:numId w:val="1049"/>
        </w:numPr>
      </w:pPr>
      <w:r>
        <w:t xml:space="preserve">Data Type (Int, …)</w:t>
      </w:r>
    </w:p>
    <w:p>
      <w:pPr>
        <w:pStyle w:val="Compact"/>
        <w:numPr>
          <w:ilvl w:val="0"/>
          <w:numId w:val="1049"/>
        </w:numPr>
      </w:pPr>
      <w:r>
        <w:t xml:space="preserve">Bits per Sample</w:t>
      </w:r>
    </w:p>
    <w:p>
      <w:pPr>
        <w:pStyle w:val="Compact"/>
        <w:numPr>
          <w:ilvl w:val="0"/>
          <w:numId w:val="1049"/>
        </w:numPr>
      </w:pPr>
      <w:r>
        <w:t xml:space="preserve">Byte Order</w:t>
      </w:r>
    </w:p>
    <w:p>
      <w:pPr>
        <w:pStyle w:val="Compact"/>
        <w:numPr>
          <w:ilvl w:val="0"/>
          <w:numId w:val="1049"/>
        </w:numPr>
      </w:pPr>
      <w:r>
        <w:t xml:space="preserve">Bit Value Representation</w:t>
      </w:r>
    </w:p>
    <w:bookmarkEnd w:id="161"/>
    <w:bookmarkStart w:id="162" w:name="goal-requirements-31"/>
    <w:p>
      <w:pPr>
        <w:pStyle w:val="berschrift5"/>
      </w:pPr>
      <w:r>
        <w:t xml:space="preserve">Goal requirements:</w:t>
      </w:r>
    </w:p>
    <w:p>
      <w:pPr>
        <w:pStyle w:val="FirstParagraph"/>
      </w:pPr>
      <w:r>
        <w:t xml:space="preserve">As threshold, including additional bit value representations, e.g.:</w:t>
      </w:r>
    </w:p>
    <w:p>
      <w:pPr>
        <w:pStyle w:val="Compact"/>
        <w:numPr>
          <w:ilvl w:val="0"/>
          <w:numId w:val="1050"/>
        </w:numPr>
      </w:pPr>
      <w:r>
        <w:t xml:space="preserve">Layover (masked as invalid data in threshold)</w:t>
      </w:r>
    </w:p>
    <w:p>
      <w:pPr>
        <w:pStyle w:val="Compact"/>
        <w:numPr>
          <w:ilvl w:val="0"/>
          <w:numId w:val="1050"/>
        </w:numPr>
      </w:pPr>
      <w:r>
        <w:t xml:space="preserve">Radar shadow (masked as invalid data in threshold)</w:t>
      </w:r>
    </w:p>
    <w:p>
      <w:pPr>
        <w:pStyle w:val="Compact"/>
        <w:numPr>
          <w:ilvl w:val="0"/>
          <w:numId w:val="1050"/>
        </w:numPr>
      </w:pPr>
      <w:r>
        <w:t xml:space="preserve">Ocean water</w:t>
      </w:r>
    </w:p>
    <w:p>
      <w:pPr>
        <w:pStyle w:val="Compact"/>
        <w:numPr>
          <w:ilvl w:val="0"/>
          <w:numId w:val="1050"/>
        </w:numPr>
      </w:pPr>
      <w:r>
        <w:t xml:space="preserve">Land (recommended for ORB)</w:t>
      </w:r>
    </w:p>
    <w:p>
      <w:pPr>
        <w:pStyle w:val="Compact"/>
        <w:numPr>
          <w:ilvl w:val="0"/>
          <w:numId w:val="1050"/>
        </w:numPr>
      </w:pPr>
      <w:r>
        <w:t xml:space="preserve">RTC applied (e.g., for maritime scenes with land samples for which RTC has been applied)</w:t>
      </w:r>
    </w:p>
    <w:p>
      <w:pPr>
        <w:pStyle w:val="Compact"/>
        <w:numPr>
          <w:ilvl w:val="0"/>
          <w:numId w:val="1050"/>
        </w:numPr>
      </w:pPr>
      <w:r>
        <w:t xml:space="preserve">DEM gap filling (i.e., interpolated DEM over gaps)</w:t>
      </w:r>
    </w:p>
    <w:bookmarkEnd w:id="162"/>
    <w:bookmarkStart w:id="163" w:name="assessment-31"/>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3"/>
    <w:bookmarkEnd w:id="164"/>
    <w:bookmarkStart w:id="168" w:name="sec:pxl.per-pixel-scattering-area"/>
    <w:p>
      <w:pPr>
        <w:pStyle w:val="berschrift4"/>
      </w:pPr>
      <w:r>
        <w:rPr>
          <w:rStyle w:val="VerbatimChar"/>
        </w:rPr>
        <w:t xml:space="preserve">4.3.</w:t>
      </w:r>
      <w:r>
        <w:t xml:space="preserve"> </w:t>
      </w:r>
      <w:r>
        <w:t xml:space="preserve">Scattering Area Image</w:t>
      </w:r>
    </w:p>
    <w:p>
      <w:pPr>
        <w:pStyle w:val="FirstParagraph"/>
      </w:pPr>
      <w:r>
        <w:t xml:space="preserve">Identifier:</w:t>
      </w:r>
      <w:r>
        <w:t xml:space="preserve"> </w:t>
      </w:r>
      <w:r>
        <w:rPr>
          <w:rStyle w:val="VerbatimChar"/>
        </w:rPr>
        <w:t xml:space="preserve">pxl.per-pixel-scattering-area</w:t>
      </w:r>
    </w:p>
    <w:p>
      <w:pPr>
        <w:pStyle w:val="Textkrper"/>
      </w:pPr>
      <w:r>
        <w:rPr>
          <w:b/>
          <w:bCs/>
        </w:rPr>
        <w:t xml:space="preserve">Usage: Recommended for scenes that include land areas.</w:t>
      </w:r>
    </w:p>
    <w:bookmarkStart w:id="165" w:name="threshold-requirements-32"/>
    <w:p>
      <w:pPr>
        <w:pStyle w:val="berschrift5"/>
      </w:pPr>
      <w:r>
        <w:t xml:space="preserve">Threshold requirements:</w:t>
      </w:r>
    </w:p>
    <w:p>
      <w:pPr>
        <w:pStyle w:val="FirstParagraph"/>
      </w:pPr>
      <w:r>
        <w:t xml:space="preserve">Not required.</w:t>
      </w:r>
      <w:r>
        <w:t xml:space="preserve"> </w:t>
      </w:r>
    </w:p>
    <w:bookmarkEnd w:id="165"/>
    <w:bookmarkStart w:id="166" w:name="goal-requirements-32"/>
    <w:p>
      <w:pPr>
        <w:pStyle w:val="berschrift5"/>
      </w:pPr>
      <w:r>
        <w:t xml:space="preserve">Goal requirements:</w:t>
      </w:r>
    </w:p>
    <w:p>
      <w:pPr>
        <w:pStyle w:val="FirstParagraph"/>
      </w:pPr>
      <w:r>
        <w:t xml:space="preserve">DEM-based scattering area image used for Gamma-Nought terrain normalisation is provided.</w:t>
      </w:r>
      <w:r>
        <w:t xml:space="preserve"> </w:t>
      </w:r>
      <w:r>
        <w:t xml:space="preserve">This quantifies the local scattering area used to normalise for radiometric distortions induced by terrain to the measured</w:t>
      </w:r>
      <w:r>
        <w:t xml:space="preserve"> </w:t>
      </w:r>
      <m:oMath>
        <m:sSup>
          <m:e>
            <m:r>
              <m:t>β</m:t>
            </m:r>
          </m:e>
          <m:sup>
            <m:r>
              <m:t>0</m:t>
            </m:r>
          </m:sup>
        </m:sSup>
      </m:oMath>
      <w:r>
        <w:t xml:space="preserve"> </w:t>
      </w:r>
      <w:r>
        <w:t xml:space="preserve">backscatter.</w:t>
      </w:r>
      <w:r>
        <w:t xml:space="preserve"> </w:t>
      </w:r>
      <w:r>
        <w:t xml:space="preserve">The terrain-flattened</w:t>
      </w:r>
      <w:r>
        <w:t xml:space="preserve"> </w:t>
      </w:r>
      <m:oMath>
        <m:sSubSup>
          <m:e>
            <m:r>
              <m:t>γ</m:t>
            </m:r>
          </m:e>
          <m:sub>
            <m:r>
              <m:t>T</m:t>
            </m:r>
          </m:sub>
          <m:sup>
            <m:r>
              <m:t>0</m:t>
            </m:r>
          </m:sup>
        </m:sSubSup>
      </m:oMath>
      <w:r>
        <w:t xml:space="preserve"> </w:t>
      </w:r>
      <w:r>
        <w:t xml:space="preserve">is best understood as</w:t>
      </w:r>
      <w:r>
        <w:t xml:space="preserve"> </w:t>
      </w:r>
      <m:oMath>
        <m:sSup>
          <m:e>
            <m:r>
              <m:t>β</m:t>
            </m:r>
          </m:e>
          <m:sup>
            <m:r>
              <m:t>0</m:t>
            </m:r>
          </m:sup>
        </m:sSup>
      </m:oMath>
      <w:r>
        <w:t xml:space="preserve"> </w:t>
      </w:r>
      <w:r>
        <w:t xml:space="preserve">divided by the local scattering area.</w:t>
      </w:r>
    </w:p>
    <w:p>
      <w:pPr>
        <w:pStyle w:val="Textkrper"/>
      </w:pPr>
      <w:r>
        <w:t xml:space="preserve">File format specifications/contents provided in metadata:</w:t>
      </w:r>
    </w:p>
    <w:p>
      <w:pPr>
        <w:pStyle w:val="Compact"/>
        <w:numPr>
          <w:ilvl w:val="0"/>
          <w:numId w:val="1052"/>
        </w:numPr>
      </w:pPr>
      <w:r>
        <w:t xml:space="preserve">Sample Type (Scattering Area)</w:t>
      </w:r>
    </w:p>
    <w:p>
      <w:pPr>
        <w:pStyle w:val="Compact"/>
        <w:numPr>
          <w:ilvl w:val="0"/>
          <w:numId w:val="1052"/>
        </w:numPr>
      </w:pPr>
      <w:r>
        <w:t xml:space="preserve">Data Format (GeoTIFF, HDF5, NetCDF, …)</w:t>
      </w:r>
    </w:p>
    <w:p>
      <w:pPr>
        <w:pStyle w:val="Compact"/>
        <w:numPr>
          <w:ilvl w:val="0"/>
          <w:numId w:val="1052"/>
        </w:numPr>
      </w:pPr>
      <w:r>
        <w:t xml:space="preserve">Data Type (Int, Float, …)</w:t>
      </w:r>
    </w:p>
    <w:p>
      <w:pPr>
        <w:pStyle w:val="Compact"/>
        <w:numPr>
          <w:ilvl w:val="0"/>
          <w:numId w:val="1052"/>
        </w:numPr>
      </w:pPr>
      <w:r>
        <w:t xml:space="preserve">Bits per Sample</w:t>
      </w:r>
    </w:p>
    <w:p>
      <w:pPr>
        <w:pStyle w:val="Compact"/>
        <w:numPr>
          <w:ilvl w:val="0"/>
          <w:numId w:val="1052"/>
        </w:numPr>
      </w:pPr>
      <w:r>
        <w:t xml:space="preserve">Byte Order</w:t>
      </w:r>
    </w:p>
    <w:bookmarkEnd w:id="166"/>
    <w:bookmarkStart w:id="167" w:name="assessment-32"/>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67"/>
    <w:bookmarkEnd w:id="168"/>
    <w:bookmarkStart w:id="172" w:name="sec:pxl.per-pixel-local-incident-angle"/>
    <w:p>
      <w:pPr>
        <w:pStyle w:val="berschrift4"/>
      </w:pPr>
      <w:r>
        <w:rPr>
          <w:rStyle w:val="VerbatimChar"/>
        </w:rPr>
        <w:t xml:space="preserve">4.4.</w:t>
      </w:r>
      <w:r>
        <w:t xml:space="preserve"> </w:t>
      </w:r>
      <w:r>
        <w:t xml:space="preserve">Local Incident Angle Image</w:t>
      </w:r>
    </w:p>
    <w:p>
      <w:pPr>
        <w:pStyle w:val="FirstParagraph"/>
      </w:pPr>
      <w:r>
        <w:t xml:space="preserve">Identifier:</w:t>
      </w:r>
      <w:r>
        <w:t xml:space="preserve"> </w:t>
      </w:r>
      <w:r>
        <w:rPr>
          <w:rStyle w:val="VerbatimChar"/>
        </w:rPr>
        <w:t xml:space="preserve">pxl.per-pixel-local-incident-angle</w:t>
      </w:r>
    </w:p>
    <w:bookmarkStart w:id="169" w:name="threshold-requirements-33"/>
    <w:p>
      <w:pPr>
        <w:pStyle w:val="berschrift5"/>
      </w:pPr>
      <w:r>
        <w:t xml:space="preserve">Threshold requirements:</w:t>
      </w:r>
    </w:p>
    <w:p>
      <w:pPr>
        <w:pStyle w:val="FirstParagraph"/>
      </w:pPr>
      <w:r>
        <w:t xml:space="preserve">DEM-based Local Incident angle image is provided.</w:t>
      </w:r>
    </w:p>
    <w:p>
      <w:pPr>
        <w:pStyle w:val="Textkrper"/>
      </w:pPr>
      <w:r>
        <w:t xml:space="preserve">File format specifications/contents provided in metadata:</w:t>
      </w:r>
    </w:p>
    <w:p>
      <w:pPr>
        <w:pStyle w:val="Compact"/>
        <w:numPr>
          <w:ilvl w:val="0"/>
          <w:numId w:val="1054"/>
        </w:numPr>
      </w:pPr>
      <w:r>
        <w:t xml:space="preserve">Sample Type (Angle)</w:t>
      </w:r>
    </w:p>
    <w:p>
      <w:pPr>
        <w:pStyle w:val="Compact"/>
        <w:numPr>
          <w:ilvl w:val="0"/>
          <w:numId w:val="1054"/>
        </w:numPr>
      </w:pPr>
      <w:r>
        <w:t xml:space="preserve">Data Format (GeoTIFF, HDF5, NetCDF, …)</w:t>
      </w:r>
    </w:p>
    <w:p>
      <w:pPr>
        <w:pStyle w:val="Compact"/>
        <w:numPr>
          <w:ilvl w:val="0"/>
          <w:numId w:val="1054"/>
        </w:numPr>
      </w:pPr>
      <w:r>
        <w:t xml:space="preserve">Data Type (Int, Float, …)</w:t>
      </w:r>
    </w:p>
    <w:p>
      <w:pPr>
        <w:pStyle w:val="Compact"/>
        <w:numPr>
          <w:ilvl w:val="0"/>
          <w:numId w:val="1054"/>
        </w:numPr>
      </w:pPr>
      <w:r>
        <w:t xml:space="preserve">Bits per Sample</w:t>
      </w:r>
    </w:p>
    <w:p>
      <w:pPr>
        <w:pStyle w:val="Compact"/>
        <w:numPr>
          <w:ilvl w:val="0"/>
          <w:numId w:val="1054"/>
        </w:numPr>
      </w:pPr>
      <w:r>
        <w:t xml:space="preserve">Byte Order</w:t>
      </w:r>
    </w:p>
    <w:p>
      <w:pPr>
        <w:pStyle w:val="FirstParagraph"/>
      </w:pPr>
      <w:r>
        <w:t xml:space="preserve">Notes:</w:t>
      </w:r>
    </w:p>
    <w:p>
      <w:pPr>
        <w:pStyle w:val="Compact"/>
        <w:numPr>
          <w:ilvl w:val="0"/>
          <w:numId w:val="1055"/>
        </w:numPr>
      </w:pPr>
      <w:r>
        <w:t xml:space="preserve">For maritime ORB scenes when no land areas are covered, a geoid model could be used for the calculation of the local incident angle.</w:t>
      </w:r>
    </w:p>
    <w:bookmarkEnd w:id="169"/>
    <w:bookmarkStart w:id="170" w:name="goal-requirements-33"/>
    <w:p>
      <w:pPr>
        <w:pStyle w:val="berschrift5"/>
      </w:pPr>
      <w:r>
        <w:t xml:space="preserve">Goal requirements:</w:t>
      </w:r>
    </w:p>
    <w:p>
      <w:pPr>
        <w:pStyle w:val="FirstParagraph"/>
      </w:pPr>
      <w:r>
        <w:t xml:space="preserve">As threshold.</w:t>
      </w:r>
      <w:r>
        <w:t xml:space="preserve"> </w:t>
      </w:r>
    </w:p>
    <w:bookmarkEnd w:id="170"/>
    <w:bookmarkStart w:id="171" w:name="assessment-33"/>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1"/>
    <w:bookmarkEnd w:id="172"/>
    <w:bookmarkStart w:id="176" w:name="X42862d8fb19a6b32ebc3398b92b86f6abe50bf3"/>
    <w:p>
      <w:pPr>
        <w:pStyle w:val="berschrift4"/>
      </w:pPr>
      <w:r>
        <w:rPr>
          <w:rStyle w:val="VerbatimChar"/>
        </w:rPr>
        <w:t xml:space="preserve">4.5.</w:t>
      </w:r>
      <w:r>
        <w:t xml:space="preserve"> </w:t>
      </w:r>
      <w:r>
        <w:t xml:space="preserve">Ellipsoidal Incident Angle Image</w:t>
      </w:r>
    </w:p>
    <w:p>
      <w:pPr>
        <w:pStyle w:val="FirstParagraph"/>
      </w:pPr>
      <w:r>
        <w:t xml:space="preserve">Identifier:</w:t>
      </w:r>
      <w:r>
        <w:t xml:space="preserve"> </w:t>
      </w:r>
      <w:r>
        <w:rPr>
          <w:rStyle w:val="VerbatimChar"/>
        </w:rPr>
        <w:t xml:space="preserve">pxl.per-pixel-ellipsoidal-incident-angle</w:t>
      </w:r>
    </w:p>
    <w:bookmarkStart w:id="173" w:name="threshold-requirements-34"/>
    <w:p>
      <w:pPr>
        <w:pStyle w:val="berschrift5"/>
      </w:pPr>
      <w:r>
        <w:t xml:space="preserve">Threshold requirements:</w:t>
      </w:r>
    </w:p>
    <w:p>
      <w:pPr>
        <w:pStyle w:val="FirstParagraph"/>
      </w:pPr>
      <w:r>
        <w:t xml:space="preserve">Not required.</w:t>
      </w:r>
      <w:r>
        <w:t xml:space="preserve"> </w:t>
      </w:r>
    </w:p>
    <w:bookmarkEnd w:id="173"/>
    <w:bookmarkStart w:id="174" w:name="goal-requirements-34"/>
    <w:p>
      <w:pPr>
        <w:pStyle w:val="berschrift5"/>
      </w:pPr>
      <w:r>
        <w:t xml:space="preserve">Goal requirements:</w:t>
      </w:r>
    </w:p>
    <w:p>
      <w:pPr>
        <w:pStyle w:val="FirstParagraph"/>
      </w:pPr>
      <w:r>
        <w:t xml:space="preserve">Ellipsoidal incident angle is provided.</w:t>
      </w:r>
    </w:p>
    <w:p>
      <w:pPr>
        <w:pStyle w:val="Textkrper"/>
      </w:pPr>
      <w:r>
        <w:t xml:space="preserve">File format specifications/contents provided in metadata:</w:t>
      </w:r>
    </w:p>
    <w:p>
      <w:pPr>
        <w:pStyle w:val="Compact"/>
        <w:numPr>
          <w:ilvl w:val="0"/>
          <w:numId w:val="1057"/>
        </w:numPr>
      </w:pPr>
      <w:r>
        <w:t xml:space="preserve">Sample Type (Angle)</w:t>
      </w:r>
    </w:p>
    <w:p>
      <w:pPr>
        <w:pStyle w:val="Compact"/>
        <w:numPr>
          <w:ilvl w:val="0"/>
          <w:numId w:val="1057"/>
        </w:numPr>
      </w:pPr>
      <w:r>
        <w:t xml:space="preserve">Data Format (GeoTIFF, HDF5, NetCDF, …)</w:t>
      </w:r>
    </w:p>
    <w:p>
      <w:pPr>
        <w:pStyle w:val="Compact"/>
        <w:numPr>
          <w:ilvl w:val="0"/>
          <w:numId w:val="1057"/>
        </w:numPr>
      </w:pPr>
      <w:r>
        <w:t xml:space="preserve">Data Type (Int, Float, …)</w:t>
      </w:r>
    </w:p>
    <w:p>
      <w:pPr>
        <w:pStyle w:val="Compact"/>
        <w:numPr>
          <w:ilvl w:val="0"/>
          <w:numId w:val="1057"/>
        </w:numPr>
      </w:pPr>
      <w:r>
        <w:t xml:space="preserve">Bits per Sample</w:t>
      </w:r>
    </w:p>
    <w:p>
      <w:pPr>
        <w:pStyle w:val="Compact"/>
        <w:numPr>
          <w:ilvl w:val="0"/>
          <w:numId w:val="1057"/>
        </w:numPr>
      </w:pPr>
      <w:r>
        <w:t xml:space="preserve">Byte Order</w:t>
      </w:r>
    </w:p>
    <w:p>
      <w:pPr>
        <w:pStyle w:val="Compact"/>
        <w:numPr>
          <w:ilvl w:val="0"/>
          <w:numId w:val="1057"/>
        </w:numPr>
      </w:pPr>
      <w:r>
        <w:t xml:space="preserve">Reference Ellipsoid Name</w:t>
      </w:r>
    </w:p>
    <w:p>
      <w:pPr>
        <w:pStyle w:val="FirstParagraph"/>
      </w:pPr>
      <w:r>
        <w:t xml:space="preserve">Notes:</w:t>
      </w:r>
    </w:p>
    <w:p>
      <w:pPr>
        <w:pStyle w:val="Compact"/>
        <w:numPr>
          <w:ilvl w:val="0"/>
          <w:numId w:val="1058"/>
        </w:numPr>
      </w:pPr>
      <w:r>
        <w:t xml:space="preserve">For maritime ORB scenes when no land areas are covered, the ellipsoidal incident angle is nearly identical to the geoid based local incident angle.</w:t>
      </w:r>
    </w:p>
    <w:bookmarkEnd w:id="174"/>
    <w:bookmarkStart w:id="175" w:name="assessment-34"/>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pict>
          <v:rect style="width:0;height:1.5pt" o:hralign="center" o:hrstd="t" o:hr="t"/>
        </w:pict>
      </w:r>
    </w:p>
    <w:bookmarkEnd w:id="175"/>
    <w:bookmarkEnd w:id="176"/>
    <w:bookmarkStart w:id="180" w:name="sec:pxl.per-pixel-noise-power"/>
    <w:p>
      <w:pPr>
        <w:pStyle w:val="berschrift4"/>
      </w:pPr>
      <w:r>
        <w:rPr>
          <w:rStyle w:val="VerbatimChar"/>
        </w:rPr>
        <w:t xml:space="preserve">4.6.</w:t>
      </w:r>
      <w:r>
        <w:t xml:space="preserve"> </w:t>
      </w:r>
      <w:r>
        <w:t xml:space="preserve">Noise Power Image</w:t>
      </w:r>
    </w:p>
    <w:p>
      <w:pPr>
        <w:pStyle w:val="FirstParagraph"/>
      </w:pPr>
      <w:r>
        <w:t xml:space="preserve">Identifier:</w:t>
      </w:r>
      <w:r>
        <w:t xml:space="preserve"> </w:t>
      </w:r>
      <w:r>
        <w:rPr>
          <w:rStyle w:val="VerbatimChar"/>
        </w:rPr>
        <w:t xml:space="preserve">pxl.per-pixel-noise-power</w:t>
      </w:r>
    </w:p>
    <w:bookmarkStart w:id="177" w:name="threshold-requirements-35"/>
    <w:p>
      <w:pPr>
        <w:pStyle w:val="berschrift5"/>
      </w:pPr>
      <w:r>
        <w:t xml:space="preserve">Threshold requirements:</w:t>
      </w:r>
    </w:p>
    <w:p>
      <w:pPr>
        <w:pStyle w:val="FirstParagraph"/>
      </w:pPr>
      <w:r>
        <w:t xml:space="preserve">Not required.</w:t>
      </w:r>
      <w:r>
        <w:t xml:space="preserve"> </w:t>
      </w:r>
    </w:p>
    <w:bookmarkEnd w:id="177"/>
    <w:bookmarkStart w:id="178" w:name="goal-requirements-35"/>
    <w:p>
      <w:pPr>
        <w:pStyle w:val="berschrift5"/>
      </w:pPr>
      <w:r>
        <w:t xml:space="preserve">Goal requirements:</w:t>
      </w:r>
    </w:p>
    <w:p>
      <w:pPr>
        <w:pStyle w:val="FirstParagraph"/>
      </w:pPr>
      <w:r>
        <w:t xml:space="preserve">Estimated Noise Equivalent</w:t>
      </w:r>
      <w:r>
        <w:t xml:space="preserve"> </w:t>
      </w:r>
      <m:oMath>
        <m:sSup>
          <m:e>
            <m:r>
              <m:t>σ</m:t>
            </m:r>
          </m:e>
          <m:sup>
            <m:r>
              <m:t>0</m:t>
            </m:r>
          </m:sup>
        </m:sSup>
      </m:oMath>
      <w:r>
        <w:t xml:space="preserve"> </w:t>
      </w:r>
      <w:r>
        <w:t xml:space="preserve">(or</w:t>
      </w:r>
      <w:r>
        <w:t xml:space="preserve"> </w:t>
      </w:r>
      <m:oMath>
        <m:sSup>
          <m:e>
            <m:r>
              <m:t>β</m:t>
            </m:r>
          </m:e>
          <m:sup>
            <m:r>
              <m:t>0</m:t>
            </m:r>
          </m:sup>
        </m:sSup>
      </m:oMath>
      <w:r>
        <w:t xml:space="preserve"> </w:t>
      </w:r>
      <w:r>
        <w:t xml:space="preserve">or</w:t>
      </w:r>
      <w:r>
        <w:t xml:space="preserve"> </w:t>
      </w:r>
      <m:oMath>
        <m:sSup>
          <m:e>
            <m:r>
              <m:t>γ</m:t>
            </m:r>
          </m:e>
          <m:sup>
            <m:r>
              <m:t>0</m:t>
            </m:r>
          </m:sup>
        </m:sSup>
      </m:oMath>
      <w:r>
        <w:t xml:space="preserve">, as applicable) used for noise removal, if applied, for each channel.</w:t>
      </w:r>
      <w:r>
        <w:t xml:space="preserve"> </w:t>
      </w:r>
      <m:oMath>
        <m:r>
          <m:rPr>
            <m:nor/>
            <m:sty m:val="p"/>
          </m:rPr>
          <m:t>NE</m:t>
        </m:r>
        <m:sSup>
          <m:e>
            <m:r>
              <m:t>σ</m:t>
            </m:r>
          </m:e>
          <m:sup>
            <m:r>
              <m:t>0</m:t>
            </m:r>
          </m:sup>
        </m:sSup>
      </m:oMath>
      <w:r>
        <w:t xml:space="preserve"> </w:t>
      </w:r>
      <w:r>
        <w:t xml:space="preserve">and</w:t>
      </w:r>
      <w:r>
        <w:t xml:space="preserve"> </w:t>
      </w:r>
      <m:oMath>
        <m:r>
          <m:rPr>
            <m:nor/>
            <m:sty m:val="p"/>
          </m:rPr>
          <m:t>NE</m:t>
        </m:r>
        <m:sSup>
          <m:e>
            <m:r>
              <m:t>γ</m:t>
            </m:r>
          </m:e>
          <m:sup>
            <m:r>
              <m:t>0</m:t>
            </m:r>
          </m:sup>
        </m:sSup>
      </m:oMath>
      <w:r>
        <w:t xml:space="preserve"> </w:t>
      </w:r>
      <w:r>
        <w:t xml:space="preserve">are both based on a simplified ellipsoid Earth model.</w:t>
      </w:r>
    </w:p>
    <w:p>
      <w:pPr>
        <w:pStyle w:val="Textkrper"/>
      </w:pPr>
      <w:r>
        <w:t xml:space="preserve">File format specifications/contents provided in metadata:</w:t>
      </w:r>
    </w:p>
    <w:p>
      <w:pPr>
        <w:pStyle w:val="Compact"/>
        <w:numPr>
          <w:ilvl w:val="0"/>
          <w:numId w:val="1060"/>
        </w:numPr>
      </w:pPr>
      <w:r>
        <w:t xml:space="preserve">Sample Type (Gamma-Nought, Sigma-Nought, Beta-Nought)</w:t>
      </w:r>
    </w:p>
    <w:p>
      <w:pPr>
        <w:pStyle w:val="Compact"/>
        <w:numPr>
          <w:ilvl w:val="0"/>
          <w:numId w:val="1060"/>
        </w:numPr>
      </w:pPr>
      <w:r>
        <w:t xml:space="preserve">Data Format (GeoTIFF, HDF5, NetCDF, …)</w:t>
      </w:r>
    </w:p>
    <w:p>
      <w:pPr>
        <w:pStyle w:val="Compact"/>
        <w:numPr>
          <w:ilvl w:val="0"/>
          <w:numId w:val="1060"/>
        </w:numPr>
      </w:pPr>
      <w:r>
        <w:t xml:space="preserve">Data Type (Int, Float, …)</w:t>
      </w:r>
    </w:p>
    <w:p>
      <w:pPr>
        <w:pStyle w:val="Compact"/>
        <w:numPr>
          <w:ilvl w:val="0"/>
          <w:numId w:val="1060"/>
        </w:numPr>
      </w:pPr>
      <w:r>
        <w:t xml:space="preserve">Bits per Sample</w:t>
      </w:r>
    </w:p>
    <w:p>
      <w:pPr>
        <w:pStyle w:val="Compact"/>
        <w:numPr>
          <w:ilvl w:val="0"/>
          <w:numId w:val="1060"/>
        </w:numPr>
      </w:pPr>
      <w:r>
        <w:t xml:space="preserve">Byte Order</w:t>
      </w:r>
    </w:p>
    <w:bookmarkEnd w:id="178"/>
    <w:bookmarkStart w:id="179" w:name="assessment-35"/>
    <w:p>
      <w:pPr>
        <w:pStyle w:val="berschrift5"/>
      </w:pPr>
      <w:r>
        <w:t xml:space="preserve">Assessment:</w:t>
      </w:r>
    </w:p>
    <w:p>
      <w:pPr>
        <w:pStyle w:val="Compact"/>
        <w:numPr>
          <w:ilvl w:val="0"/>
          <w:numId w:val="1061"/>
        </w:numPr>
      </w:pPr>
      <w:r>
        <w:t xml:space="preserve">Threshold Self-Assessment:</w:t>
      </w:r>
    </w:p>
    <w:p>
      <w:pPr>
        <w:pStyle w:val="Compact"/>
        <w:numPr>
          <w:ilvl w:val="0"/>
          <w:numId w:val="1061"/>
        </w:numPr>
      </w:pPr>
      <w:r>
        <w:t xml:space="preserve">Goal Self-Assessment:</w:t>
      </w:r>
    </w:p>
    <w:p>
      <w:pPr>
        <w:pStyle w:val="Compact"/>
        <w:numPr>
          <w:ilvl w:val="0"/>
          <w:numId w:val="1061"/>
        </w:numPr>
      </w:pPr>
      <w:r>
        <w:t xml:space="preserve">Self-Assessment Explanation/ Justification:</w:t>
      </w:r>
    </w:p>
    <w:p>
      <w:pPr>
        <w:pStyle w:val="Compact"/>
        <w:numPr>
          <w:ilvl w:val="0"/>
          <w:numId w:val="1061"/>
        </w:numPr>
      </w:pPr>
      <w:r>
        <w:t xml:space="preserve">Recommended Requirement Modification:</w:t>
      </w:r>
    </w:p>
    <w:p>
      <w:r>
        <w:pict>
          <v:rect style="width:0;height:1.5pt" o:hralign="center" o:hrstd="t" o:hr="t"/>
        </w:pict>
      </w:r>
    </w:p>
    <w:bookmarkEnd w:id="179"/>
    <w:bookmarkEnd w:id="180"/>
    <w:bookmarkStart w:id="184" w:name="sec:pxl.per-pixel-gamma-sigma-ratio"/>
    <w:p>
      <w:pPr>
        <w:pStyle w:val="berschrift4"/>
      </w:pPr>
      <w:r>
        <w:rPr>
          <w:rStyle w:val="VerbatimChar"/>
        </w:rPr>
        <w:t xml:space="preserve">4.7.</w:t>
      </w:r>
      <w:r>
        <w:t xml:space="preserve"> </w:t>
      </w:r>
      <w:r>
        <w:t xml:space="preserve">Gamma-to-Sigma Ratio Image</w:t>
      </w:r>
    </w:p>
    <w:p>
      <w:pPr>
        <w:pStyle w:val="FirstParagraph"/>
      </w:pPr>
      <w:r>
        <w:t xml:space="preserve">Identifier:</w:t>
      </w:r>
      <w:r>
        <w:t xml:space="preserve"> </w:t>
      </w:r>
      <w:r>
        <w:rPr>
          <w:rStyle w:val="VerbatimChar"/>
        </w:rPr>
        <w:t xml:space="preserve">pxl.per-pixel-gamma-sigma-ratio</w:t>
      </w:r>
    </w:p>
    <w:bookmarkStart w:id="181" w:name="threshold-requirements-36"/>
    <w:p>
      <w:pPr>
        <w:pStyle w:val="berschrift5"/>
      </w:pPr>
      <w:r>
        <w:t xml:space="preserve">Threshold requirements:</w:t>
      </w:r>
    </w:p>
    <w:p>
      <w:pPr>
        <w:pStyle w:val="FirstParagraph"/>
      </w:pPr>
      <w:r>
        <w:t xml:space="preserve">Not required.</w:t>
      </w:r>
      <w:r>
        <w:t xml:space="preserve"> </w:t>
      </w:r>
    </w:p>
    <w:bookmarkEnd w:id="181"/>
    <w:bookmarkStart w:id="182" w:name="goal-requirements-36"/>
    <w:p>
      <w:pPr>
        <w:pStyle w:val="berschrift5"/>
      </w:pPr>
      <w:r>
        <w:t xml:space="preserve">Goal requirements:</w:t>
      </w:r>
    </w:p>
    <w:p>
      <w:pPr>
        <w:pStyle w:val="FirstParagraph"/>
      </w:pPr>
      <w:r>
        <w:t xml:space="preserve">Ratio of the integrated area in the Gamma projection over the integrated area</w:t>
      </w:r>
      <w:r>
        <w:t xml:space="preserve"> </w:t>
      </w:r>
      <w:r>
        <w:t xml:space="preserve">in the Sigma projection (ground). Multiplying RTC</w:t>
      </w:r>
      <w:r>
        <w:t xml:space="preserve"> </w:t>
      </w:r>
      <m:oMath>
        <m:sSubSup>
          <m:e>
            <m:r>
              <m:t>γ</m:t>
            </m:r>
          </m:e>
          <m:sub>
            <m:r>
              <m:t>T</m:t>
            </m:r>
          </m:sub>
          <m:sup>
            <m:r>
              <m:t>0</m:t>
            </m:r>
          </m:sup>
        </m:sSubSup>
      </m:oMath>
      <w:r>
        <w:t xml:space="preserve"> </w:t>
      </w:r>
      <w:r>
        <w:t xml:space="preserve">by this ratio results in an</w:t>
      </w:r>
      <w:r>
        <w:t xml:space="preserve"> </w:t>
      </w:r>
      <w:r>
        <w:t xml:space="preserve">estimate of RTC</w:t>
      </w:r>
      <w:r>
        <w:t xml:space="preserve"> </w:t>
      </w:r>
      <m:oMath>
        <m:sSubSup>
          <m:e>
            <m:r>
              <m:t>σ</m:t>
            </m:r>
          </m:e>
          <m:sub>
            <m:r>
              <m:t>T</m:t>
            </m:r>
          </m:sub>
          <m:sup>
            <m:r>
              <m:t>0</m:t>
            </m:r>
          </m:sup>
        </m:sSubSup>
      </m:oMath>
      <w:r>
        <w:t xml:space="preserve">.</w:t>
      </w:r>
    </w:p>
    <w:p>
      <w:pPr>
        <w:pStyle w:val="Textkrper"/>
      </w:pPr>
      <w:r>
        <w:t xml:space="preserve">File format specifications/contents provided in metadata:</w:t>
      </w:r>
    </w:p>
    <w:p>
      <w:pPr>
        <w:pStyle w:val="Compact"/>
        <w:numPr>
          <w:ilvl w:val="0"/>
          <w:numId w:val="1062"/>
        </w:numPr>
      </w:pPr>
      <w:r>
        <w:t xml:space="preserve">Sample Type (Ratio)</w:t>
      </w:r>
    </w:p>
    <w:p>
      <w:pPr>
        <w:pStyle w:val="Compact"/>
        <w:numPr>
          <w:ilvl w:val="0"/>
          <w:numId w:val="1062"/>
        </w:numPr>
      </w:pPr>
      <w:r>
        <w:t xml:space="preserve">Data Format (GeoTIFF, HDF5, NetCDF, …)</w:t>
      </w:r>
    </w:p>
    <w:p>
      <w:pPr>
        <w:pStyle w:val="Compact"/>
        <w:numPr>
          <w:ilvl w:val="0"/>
          <w:numId w:val="1062"/>
        </w:numPr>
      </w:pPr>
      <w:r>
        <w:t xml:space="preserve">Data Type (Int, Float, …)</w:t>
      </w:r>
    </w:p>
    <w:p>
      <w:pPr>
        <w:pStyle w:val="Compact"/>
        <w:numPr>
          <w:ilvl w:val="0"/>
          <w:numId w:val="1062"/>
        </w:numPr>
      </w:pPr>
      <w:r>
        <w:t xml:space="preserve">Bits per Sample</w:t>
      </w:r>
    </w:p>
    <w:p>
      <w:pPr>
        <w:pStyle w:val="Compact"/>
        <w:numPr>
          <w:ilvl w:val="0"/>
          <w:numId w:val="1062"/>
        </w:numPr>
      </w:pPr>
      <w:r>
        <w:t xml:space="preserve">Byte Order</w:t>
      </w:r>
    </w:p>
    <w:bookmarkEnd w:id="182"/>
    <w:bookmarkStart w:id="183" w:name="assessment-36"/>
    <w:p>
      <w:pPr>
        <w:pStyle w:val="berschrift5"/>
      </w:pPr>
      <w:r>
        <w:t xml:space="preserve">Assessment:</w:t>
      </w:r>
    </w:p>
    <w:p>
      <w:pPr>
        <w:pStyle w:val="Compact"/>
        <w:numPr>
          <w:ilvl w:val="0"/>
          <w:numId w:val="1063"/>
        </w:numPr>
      </w:pPr>
      <w:r>
        <w:t xml:space="preserve">Threshold Self-Assessment:</w:t>
      </w:r>
    </w:p>
    <w:p>
      <w:pPr>
        <w:pStyle w:val="Compact"/>
        <w:numPr>
          <w:ilvl w:val="0"/>
          <w:numId w:val="1063"/>
        </w:numPr>
      </w:pPr>
      <w:r>
        <w:t xml:space="preserve">Goal Self-Assessment:</w:t>
      </w:r>
    </w:p>
    <w:p>
      <w:pPr>
        <w:pStyle w:val="Compact"/>
        <w:numPr>
          <w:ilvl w:val="0"/>
          <w:numId w:val="1063"/>
        </w:numPr>
      </w:pPr>
      <w:r>
        <w:t xml:space="preserve">Self-Assessment Explanation/ Justification:</w:t>
      </w:r>
    </w:p>
    <w:p>
      <w:pPr>
        <w:pStyle w:val="Compact"/>
        <w:numPr>
          <w:ilvl w:val="0"/>
          <w:numId w:val="1063"/>
        </w:numPr>
      </w:pPr>
      <w:r>
        <w:t xml:space="preserve">Recommended Requirement Modification:</w:t>
      </w:r>
    </w:p>
    <w:p>
      <w:r>
        <w:pict>
          <v:rect style="width:0;height:1.5pt" o:hralign="center" o:hrstd="t" o:hr="t"/>
        </w:pict>
      </w:r>
    </w:p>
    <w:bookmarkEnd w:id="183"/>
    <w:bookmarkEnd w:id="184"/>
    <w:bookmarkStart w:id="188" w:name="sec:pxl.per-pixel-acquisition-id"/>
    <w:p>
      <w:pPr>
        <w:pStyle w:val="berschrift4"/>
      </w:pPr>
      <w:r>
        <w:rPr>
          <w:rStyle w:val="VerbatimChar"/>
        </w:rPr>
        <w:t xml:space="preserve">4.8.</w:t>
      </w:r>
      <w:r>
        <w:t xml:space="preserve"> </w:t>
      </w:r>
      <w:r>
        <w:t xml:space="preserve">Acquisition ID Image</w:t>
      </w:r>
    </w:p>
    <w:p>
      <w:pPr>
        <w:pStyle w:val="FirstParagraph"/>
      </w:pPr>
      <w:r>
        <w:t xml:space="preserve">Identifier:</w:t>
      </w:r>
      <w:r>
        <w:t xml:space="preserve"> </w:t>
      </w:r>
      <w:r>
        <w:rPr>
          <w:rStyle w:val="VerbatimChar"/>
        </w:rPr>
        <w:t xml:space="preserve">pxl.per-pixel-acquisition-id</w:t>
      </w:r>
    </w:p>
    <w:bookmarkStart w:id="185" w:name="threshold-requirements-37"/>
    <w:p>
      <w:pPr>
        <w:pStyle w:val="berschrift5"/>
      </w:pPr>
      <w:r>
        <w:t xml:space="preserve">Threshold requirements:</w:t>
      </w:r>
    </w:p>
    <w:p>
      <w:pPr>
        <w:pStyle w:val="FirstParagraph"/>
      </w:pPr>
      <w:r>
        <w:rPr>
          <w:b/>
          <w:bCs/>
        </w:rPr>
        <w:t xml:space="preserve">Required for multi-source product only.</w:t>
      </w:r>
    </w:p>
    <w:p>
      <w:pPr>
        <w:pStyle w:val="Textkrper"/>
      </w:pPr>
      <w:r>
        <w:t xml:space="preserve">Acquisition ID, or acquisition date, for each pixel is identified.</w:t>
      </w:r>
    </w:p>
    <w:p>
      <w:pPr>
        <w:pStyle w:val="Textkrper"/>
      </w:pPr>
      <w:r>
        <w:t xml:space="preserve">In case of multi-temporal image stacks, use a source acquisition ID (i.e., Section </w:t>
      </w:r>
      <w:r>
        <w:t xml:space="preserve">“</w:t>
      </w:r>
      <w:hyperlink w:anchor="sec:src.metadata-acquisition-id">
        <w:r>
          <w:rPr>
            <w:rStyle w:val="Hyperlink"/>
          </w:rPr>
          <w:t xml:space="preserve">Source Metadata: Acquisition ID</w:t>
        </w:r>
      </w:hyperlink>
      <w:r>
        <w:t xml:space="preserve">”</w:t>
      </w:r>
      <w:r>
        <w:t xml:space="preserve">) to list contributing images.</w:t>
      </w:r>
    </w:p>
    <w:p>
      <w:pPr>
        <w:pStyle w:val="Textkrper"/>
      </w:pPr>
      <w:r>
        <w:t xml:space="preserve">In case of date, data represent (integer or fractional) day offset to reference observation date (in UTC). Date used as reference (</w:t>
      </w:r>
      <w:r>
        <w:t xml:space="preserve">“Day 0”</w:t>
      </w:r>
      <w:r>
        <w:t xml:space="preserve">) is provided in the metadata.</w:t>
      </w:r>
    </w:p>
    <w:p>
      <w:pPr>
        <w:pStyle w:val="Textkrper"/>
      </w:pPr>
      <w:r>
        <w:t xml:space="preserve">Pixels not representing a unique date (e.g., pixels averaged in image overlap zones) are flagged with a pre-set pixel value that is provided in the metadata.</w:t>
      </w:r>
    </w:p>
    <w:p>
      <w:pPr>
        <w:pStyle w:val="Textkrper"/>
      </w:pPr>
      <w:r>
        <w:t xml:space="preserve">File format specifications/contents provided in metadata:</w:t>
      </w:r>
    </w:p>
    <w:p>
      <w:pPr>
        <w:pStyle w:val="Compact"/>
        <w:numPr>
          <w:ilvl w:val="0"/>
          <w:numId w:val="1064"/>
        </w:numPr>
      </w:pPr>
      <w:r>
        <w:t xml:space="preserve">Sample type (Day, Time, ID)</w:t>
      </w:r>
    </w:p>
    <w:p>
      <w:pPr>
        <w:pStyle w:val="Compact"/>
        <w:numPr>
          <w:ilvl w:val="0"/>
          <w:numId w:val="1064"/>
        </w:numPr>
      </w:pPr>
      <w:r>
        <w:t xml:space="preserve">Data Format (GeoTIFF, HDF5, NetCDF, …)</w:t>
      </w:r>
    </w:p>
    <w:p>
      <w:pPr>
        <w:pStyle w:val="Compact"/>
        <w:numPr>
          <w:ilvl w:val="0"/>
          <w:numId w:val="1064"/>
        </w:numPr>
      </w:pPr>
      <w:r>
        <w:t xml:space="preserve">Data Type (Int, Float, …)</w:t>
      </w:r>
    </w:p>
    <w:p>
      <w:pPr>
        <w:pStyle w:val="Compact"/>
        <w:numPr>
          <w:ilvl w:val="0"/>
          <w:numId w:val="1064"/>
        </w:numPr>
      </w:pPr>
      <w:r>
        <w:t xml:space="preserve">Bits per sample</w:t>
      </w:r>
    </w:p>
    <w:p>
      <w:pPr>
        <w:pStyle w:val="Compact"/>
        <w:numPr>
          <w:ilvl w:val="0"/>
          <w:numId w:val="1064"/>
        </w:numPr>
      </w:pPr>
      <w:r>
        <w:t xml:space="preserve">Byte Order</w:t>
      </w:r>
    </w:p>
    <w:bookmarkEnd w:id="185"/>
    <w:bookmarkStart w:id="186" w:name="goal-requirements-37"/>
    <w:p>
      <w:pPr>
        <w:pStyle w:val="berschrift5"/>
      </w:pPr>
      <w:r>
        <w:t xml:space="preserve">Goal requirements:</w:t>
      </w:r>
    </w:p>
    <w:p>
      <w:pPr>
        <w:pStyle w:val="FirstParagraph"/>
      </w:pPr>
      <w:r>
        <w:t xml:space="preserve">In case of image composites, the sources for each pixel are uniquely identified.</w:t>
      </w:r>
    </w:p>
    <w:bookmarkEnd w:id="186"/>
    <w:bookmarkStart w:id="187" w:name="assessment-37"/>
    <w:p>
      <w:pPr>
        <w:pStyle w:val="berschrift5"/>
      </w:pPr>
      <w:r>
        <w:t xml:space="preserve">Assessment:</w:t>
      </w:r>
    </w:p>
    <w:p>
      <w:pPr>
        <w:pStyle w:val="Compact"/>
        <w:numPr>
          <w:ilvl w:val="0"/>
          <w:numId w:val="1065"/>
        </w:numPr>
      </w:pPr>
      <w:r>
        <w:t xml:space="preserve">Threshold Self-Assessment:</w:t>
      </w:r>
    </w:p>
    <w:p>
      <w:pPr>
        <w:pStyle w:val="Compact"/>
        <w:numPr>
          <w:ilvl w:val="0"/>
          <w:numId w:val="1065"/>
        </w:numPr>
      </w:pPr>
      <w:r>
        <w:t xml:space="preserve">Goal Self-Assessment:</w:t>
      </w:r>
    </w:p>
    <w:p>
      <w:pPr>
        <w:pStyle w:val="Compact"/>
        <w:numPr>
          <w:ilvl w:val="0"/>
          <w:numId w:val="1065"/>
        </w:numPr>
      </w:pPr>
      <w:r>
        <w:t xml:space="preserve">Self-Assessment Explanation/ Justification:</w:t>
      </w:r>
    </w:p>
    <w:p>
      <w:pPr>
        <w:pStyle w:val="Compact"/>
        <w:numPr>
          <w:ilvl w:val="0"/>
          <w:numId w:val="1065"/>
        </w:numPr>
      </w:pPr>
      <w:r>
        <w:t xml:space="preserve">Recommended Requirement Modification:</w:t>
      </w:r>
    </w:p>
    <w:p>
      <w:r>
        <w:pict>
          <v:rect style="width:0;height:1.5pt" o:hralign="center" o:hrstd="t" o:hr="t"/>
        </w:pict>
      </w:r>
    </w:p>
    <w:bookmarkEnd w:id="187"/>
    <w:bookmarkEnd w:id="188"/>
    <w:bookmarkStart w:id="192" w:name="sec:pxl.per-pixel-dem"/>
    <w:p>
      <w:pPr>
        <w:pStyle w:val="berschrift4"/>
      </w:pPr>
      <w:r>
        <w:rPr>
          <w:rStyle w:val="VerbatimChar"/>
        </w:rPr>
        <w:t xml:space="preserve">4.9.</w:t>
      </w:r>
      <w:r>
        <w:t xml:space="preserve"> </w:t>
      </w:r>
      <w:r>
        <w:t xml:space="preserve">Per-Pixel DEM</w:t>
      </w:r>
    </w:p>
    <w:p>
      <w:pPr>
        <w:pStyle w:val="FirstParagraph"/>
      </w:pPr>
      <w:r>
        <w:t xml:space="preserve">Identifier:</w:t>
      </w:r>
      <w:r>
        <w:t xml:space="preserve"> </w:t>
      </w:r>
      <w:r>
        <w:rPr>
          <w:rStyle w:val="VerbatimChar"/>
        </w:rPr>
        <w:t xml:space="preserve">pxl.per-pixel-dem</w:t>
      </w:r>
    </w:p>
    <w:bookmarkStart w:id="189" w:name="threshold-requirements-38"/>
    <w:p>
      <w:pPr>
        <w:pStyle w:val="berschrift5"/>
      </w:pPr>
      <w:r>
        <w:t xml:space="preserve">Threshold requirements:</w:t>
      </w:r>
    </w:p>
    <w:p>
      <w:pPr>
        <w:pStyle w:val="FirstParagraph"/>
      </w:pPr>
      <w:r>
        <w:t xml:space="preserve">Not required.</w:t>
      </w:r>
      <w:r>
        <w:t xml:space="preserve"> </w:t>
      </w:r>
    </w:p>
    <w:bookmarkEnd w:id="189"/>
    <w:bookmarkStart w:id="190" w:name="goal-requirements-38"/>
    <w:p>
      <w:pPr>
        <w:pStyle w:val="berschrift5"/>
      </w:pPr>
      <w:r>
        <w:t xml:space="preserve">Goal requirements:</w:t>
      </w:r>
    </w:p>
    <w:p>
      <w:pPr>
        <w:pStyle w:val="FirstParagraph"/>
      </w:pPr>
      <w:r>
        <w:t xml:space="preserve">Provide DEM or DSM as used during the geometric and radiometric processing of the SAR data, resampled to an exact geometric match in extent and resolution with the CEOS-ARD SAR image product.</w:t>
      </w:r>
    </w:p>
    <w:p>
      <w:pPr>
        <w:pStyle w:val="Textkrper"/>
      </w:pPr>
      <w:r>
        <w:t xml:space="preserve">Can also be provided with ORB products containing land areas.</w:t>
      </w:r>
    </w:p>
    <w:p>
      <w:pPr>
        <w:pStyle w:val="Textkrper"/>
      </w:pPr>
      <w:r>
        <w:t xml:space="preserve">File format specifications/contents provided in metadata:</w:t>
      </w:r>
    </w:p>
    <w:p>
      <w:pPr>
        <w:pStyle w:val="Compact"/>
        <w:numPr>
          <w:ilvl w:val="0"/>
          <w:numId w:val="1066"/>
        </w:numPr>
      </w:pPr>
      <w:r>
        <w:t xml:space="preserve">Sample Type (Height)</w:t>
      </w:r>
    </w:p>
    <w:p>
      <w:pPr>
        <w:pStyle w:val="Compact"/>
        <w:numPr>
          <w:ilvl w:val="0"/>
          <w:numId w:val="1066"/>
        </w:numPr>
      </w:pPr>
      <w:r>
        <w:t xml:space="preserve">Data Format (GeoTIFF, HDF5, NetCDF, …)</w:t>
      </w:r>
    </w:p>
    <w:p>
      <w:pPr>
        <w:pStyle w:val="Compact"/>
        <w:numPr>
          <w:ilvl w:val="0"/>
          <w:numId w:val="1066"/>
        </w:numPr>
      </w:pPr>
      <w:r>
        <w:t xml:space="preserve">Data Type (Int, Float, …)</w:t>
      </w:r>
    </w:p>
    <w:p>
      <w:pPr>
        <w:pStyle w:val="Compact"/>
        <w:numPr>
          <w:ilvl w:val="0"/>
          <w:numId w:val="1066"/>
        </w:numPr>
      </w:pPr>
      <w:r>
        <w:t xml:space="preserve">Bits per Sample</w:t>
      </w:r>
    </w:p>
    <w:p>
      <w:pPr>
        <w:pStyle w:val="Compact"/>
        <w:numPr>
          <w:ilvl w:val="0"/>
          <w:numId w:val="1066"/>
        </w:numPr>
      </w:pPr>
      <w:r>
        <w:t xml:space="preserve">Byte Order</w:t>
      </w:r>
    </w:p>
    <w:bookmarkEnd w:id="190"/>
    <w:bookmarkStart w:id="191" w:name="assessment-38"/>
    <w:p>
      <w:pPr>
        <w:pStyle w:val="berschrift5"/>
      </w:pPr>
      <w:r>
        <w:t xml:space="preserve">Assessment:</w:t>
      </w:r>
    </w:p>
    <w:p>
      <w:pPr>
        <w:pStyle w:val="Compact"/>
        <w:numPr>
          <w:ilvl w:val="0"/>
          <w:numId w:val="1067"/>
        </w:numPr>
      </w:pPr>
      <w:r>
        <w:t xml:space="preserve">Threshold Self-Assessment:</w:t>
      </w:r>
    </w:p>
    <w:p>
      <w:pPr>
        <w:pStyle w:val="Compact"/>
        <w:numPr>
          <w:ilvl w:val="0"/>
          <w:numId w:val="1067"/>
        </w:numPr>
      </w:pPr>
      <w:r>
        <w:t xml:space="preserve">Goal Self-Assessment:</w:t>
      </w:r>
    </w:p>
    <w:p>
      <w:pPr>
        <w:pStyle w:val="Compact"/>
        <w:numPr>
          <w:ilvl w:val="0"/>
          <w:numId w:val="1067"/>
        </w:numPr>
      </w:pPr>
      <w:r>
        <w:t xml:space="preserve">Self-Assessment Explanation/ Justification:</w:t>
      </w:r>
    </w:p>
    <w:p>
      <w:pPr>
        <w:pStyle w:val="Compact"/>
        <w:numPr>
          <w:ilvl w:val="0"/>
          <w:numId w:val="1067"/>
        </w:numPr>
      </w:pPr>
      <w:r>
        <w:t xml:space="preserve">Recommended Requirement Modification:</w:t>
      </w:r>
    </w:p>
    <w:bookmarkEnd w:id="191"/>
    <w:bookmarkEnd w:id="192"/>
    <w:bookmarkEnd w:id="193"/>
    <w:bookmarkStart w:id="218" w:name="sec:rcm"/>
    <w:p>
      <w:pPr>
        <w:pStyle w:val="berschrift3"/>
      </w:pPr>
      <w:r>
        <w:rPr>
          <w:rStyle w:val="VerbatimChar"/>
        </w:rPr>
        <w:t xml:space="preserve">5.</w:t>
      </w:r>
      <w:r>
        <w:t xml:space="preserve"> </w:t>
      </w:r>
      <w:r>
        <w:t xml:space="preserve">Radiometrically Corrected Measurements</w:t>
      </w:r>
    </w:p>
    <w:p>
      <w:pPr>
        <w:pStyle w:val="FirstParagraph"/>
      </w:pPr>
      <w:r>
        <w:t xml:space="preserve">The requirements indicate the necessary outcomes and, to some degree, the minimum steps necessary to be deemed to have achieved those outcomes.</w:t>
      </w:r>
      <w:r>
        <w:t xml:space="preserve"> </w:t>
      </w:r>
      <w:r>
        <w:t xml:space="preserve">Radiometric corrections must lead to normalised measurement(s) of backscatter intensity and/or decomposed polarimetric parameters.</w:t>
      </w:r>
      <w:r>
        <w:t xml:space="preserve"> </w:t>
      </w:r>
      <w:r>
        <w:t xml:space="preserve">As for the per-pixel metadata, information regarding data format specification needs to be provided for each record.</w:t>
      </w:r>
      <w:r>
        <w:t xml:space="preserve"> </w:t>
      </w:r>
      <w:r>
        <w:t xml:space="preserve">The requirements below must be met for all pixels/samples/observations in a collection.</w:t>
      </w:r>
    </w:p>
    <w:p>
      <w:pPr>
        <w:pStyle w:val="Textkrper"/>
      </w:pPr>
      <w:r>
        <w:rPr>
          <w:i/>
          <w:iCs/>
        </w:rPr>
        <w:t xml:space="preserve">Cloud optimized file formats are recommended.</w:t>
      </w:r>
    </w:p>
    <w:bookmarkStart w:id="197" w:name="sec:rcm.measurements-backscatter-pol"/>
    <w:p>
      <w:pPr>
        <w:pStyle w:val="berschrift4"/>
      </w:pPr>
      <w:r>
        <w:rPr>
          <w:rStyle w:val="VerbatimChar"/>
        </w:rPr>
        <w:t xml:space="preserve">5.1.</w:t>
      </w:r>
      <w:r>
        <w:t xml:space="preserve"> </w:t>
      </w:r>
      <w:r>
        <w:t xml:space="preserve">Backscatter Measurements (POL)</w:t>
      </w:r>
    </w:p>
    <w:p>
      <w:pPr>
        <w:pStyle w:val="FirstParagraph"/>
      </w:pPr>
      <w:r>
        <w:t xml:space="preserve">Identifier:</w:t>
      </w:r>
      <w:r>
        <w:t xml:space="preserve"> </w:t>
      </w:r>
      <w:r>
        <w:rPr>
          <w:rStyle w:val="VerbatimChar"/>
        </w:rPr>
        <w:t xml:space="preserve">rcm.measurements-backscatter-pol</w:t>
      </w:r>
    </w:p>
    <w:bookmarkStart w:id="194" w:name="threshold-requirements-39"/>
    <w:p>
      <w:pPr>
        <w:pStyle w:val="berschrift5"/>
      </w:pPr>
      <w:r>
        <w:t xml:space="preserve">Threshold requirements:</w:t>
      </w:r>
    </w:p>
    <w:p>
      <w:pPr>
        <w:pStyle w:val="FirstParagraph"/>
      </w:pPr>
      <w:r>
        <w:t xml:space="preserve">Measurements can be one of the following types or both:</w:t>
      </w:r>
    </w:p>
    <w:p>
      <w:pPr>
        <w:pStyle w:val="Compact"/>
        <w:numPr>
          <w:ilvl w:val="0"/>
          <w:numId w:val="1068"/>
        </w:numPr>
      </w:pPr>
      <w:r>
        <w:rPr>
          <w:b/>
          <w:bCs/>
        </w:rPr>
        <w:t xml:space="preserve">Normalised Radar Covariance Matrix (CovMat)</w:t>
      </w:r>
      <w:r>
        <w:t xml:space="preserve"> </w:t>
      </w:r>
      <w:r>
        <w:t xml:space="preserve">Diagonal (equivalent to NRB) and upper diagonal elements of the terrain-flattened Gamma-Nought (</w:t>
      </w:r>
      <m:oMath>
        <m:sSubSup>
          <m:e>
            <m:r>
              <m:t>γ</m:t>
            </m:r>
          </m:e>
          <m:sub>
            <m:r>
              <m:t>T</m:t>
            </m:r>
          </m:sub>
          <m:sup>
            <m:r>
              <m:t>0</m:t>
            </m:r>
          </m:sup>
        </m:sSubSup>
      </m:oMath>
      <w:r>
        <w:t xml:space="preserve">) Covariance Matrix are provided for coherent dual (e.g., HH-HV, VV-VH, or …) and fully polarimetric (e.g., HH-HV-VH-VV) acquisitions.</w:t>
      </w:r>
    </w:p>
    <w:p>
      <w:pPr>
        <w:pStyle w:val="Compact"/>
        <w:numPr>
          <w:ilvl w:val="0"/>
          <w:numId w:val="1068"/>
        </w:numPr>
      </w:pPr>
      <w:r>
        <w:rPr>
          <w:b/>
          <w:bCs/>
        </w:rPr>
        <w:t xml:space="preserve">Polarimetric Radar Decomposition (PRD)</w:t>
      </w:r>
      <w:r>
        <w:t xml:space="preserve"> </w:t>
      </w:r>
      <w:r>
        <w:t xml:space="preserve">The individual components of the polarimetric decomposition obtained from the terrain-flattened (Gamma-Nought,</w:t>
      </w:r>
      <w:r>
        <w:t xml:space="preserve"> </w:t>
      </w:r>
      <m:oMath>
        <m:sSubSup>
          <m:e>
            <m:r>
              <m:t>γ</m:t>
            </m:r>
          </m:e>
          <m:sub>
            <m:r>
              <m:t>T</m:t>
            </m:r>
          </m:sub>
          <m:sup>
            <m:r>
              <m:t>0</m:t>
            </m:r>
          </m:sup>
        </m:sSubSup>
      </m:oMath>
      <w:r>
        <w:t xml:space="preserve">) covariance matrix.</w:t>
      </w:r>
    </w:p>
    <w:p>
      <w:pPr>
        <w:pStyle w:val="FirstParagraph"/>
      </w:pPr>
      <w:r>
        <w:t xml:space="preserve">File format specifications/contents provided in metadata:</w:t>
      </w:r>
    </w:p>
    <w:p>
      <w:pPr>
        <w:pStyle w:val="Compact"/>
        <w:numPr>
          <w:ilvl w:val="0"/>
          <w:numId w:val="1069"/>
        </w:numPr>
      </w:pPr>
      <w:r>
        <w:t xml:space="preserve">Measurement Type (CovMat, PRD)</w:t>
      </w:r>
    </w:p>
    <w:p>
      <w:pPr>
        <w:pStyle w:val="Compact"/>
        <w:numPr>
          <w:ilvl w:val="0"/>
          <w:numId w:val="1069"/>
        </w:numPr>
      </w:pPr>
      <w:r>
        <w:t xml:space="preserve">Measurement convention unit (linear amplitude, linear power, angle)</w:t>
      </w:r>
    </w:p>
    <w:p>
      <w:pPr>
        <w:pStyle w:val="Compact"/>
        <w:numPr>
          <w:ilvl w:val="0"/>
          <w:numId w:val="1069"/>
        </w:numPr>
      </w:pPr>
      <w:r>
        <w:t xml:space="preserve">Individual covariance matrix element or/and Individual component of the decomposition (C3m11, C3m12, … or H, A, alpha, or …)</w:t>
      </w:r>
    </w:p>
    <w:p>
      <w:pPr>
        <w:pStyle w:val="Compact"/>
        <w:numPr>
          <w:ilvl w:val="0"/>
          <w:numId w:val="1069"/>
        </w:numPr>
      </w:pPr>
      <w:r>
        <w:t xml:space="preserve">Data Format (GeoTIFF, HDF5, NetCDF, …)</w:t>
      </w:r>
    </w:p>
    <w:p>
      <w:pPr>
        <w:pStyle w:val="Compact"/>
        <w:numPr>
          <w:ilvl w:val="0"/>
          <w:numId w:val="1069"/>
        </w:numPr>
      </w:pPr>
      <w:r>
        <w:t xml:space="preserve">Data Type (Int, Float, Complex, …)</w:t>
      </w:r>
    </w:p>
    <w:p>
      <w:pPr>
        <w:pStyle w:val="Compact"/>
        <w:numPr>
          <w:ilvl w:val="0"/>
          <w:numId w:val="1069"/>
        </w:numPr>
      </w:pPr>
      <w:r>
        <w:t xml:space="preserve">Bits per Sample</w:t>
      </w:r>
    </w:p>
    <w:p>
      <w:pPr>
        <w:pStyle w:val="Compact"/>
        <w:numPr>
          <w:ilvl w:val="0"/>
          <w:numId w:val="1069"/>
        </w:numPr>
      </w:pPr>
      <w:r>
        <w:t xml:space="preserve">Byte Order</w:t>
      </w:r>
    </w:p>
    <w:p>
      <w:pPr>
        <w:pStyle w:val="FirstParagraph"/>
      </w:pPr>
      <w:r>
        <w:t xml:space="preserve">Notes:</w:t>
      </w:r>
    </w:p>
    <w:p>
      <w:pPr>
        <w:pStyle w:val="Compact"/>
        <w:numPr>
          <w:ilvl w:val="0"/>
          <w:numId w:val="1070"/>
        </w:numPr>
      </w:pPr>
      <w:r>
        <w:t xml:space="preserve">It is recommended to keep CovMat or PRD measurement files separated.</w:t>
      </w:r>
      <w:r>
        <w:t xml:space="preserve"> </w:t>
      </w:r>
      <w:r>
        <w:t xml:space="preserve">Otherwise, specify the multi-channel format order (BIP, BIL, BSQ).</w:t>
      </w:r>
    </w:p>
    <w:bookmarkEnd w:id="194"/>
    <w:bookmarkStart w:id="195" w:name="goal-requirements-39"/>
    <w:p>
      <w:pPr>
        <w:pStyle w:val="berschrift5"/>
      </w:pPr>
      <w:r>
        <w:t xml:space="preserve">Goal requirements:</w:t>
      </w:r>
    </w:p>
    <w:p>
      <w:pPr>
        <w:pStyle w:val="FirstParagraph"/>
      </w:pPr>
      <w:r>
        <w:t xml:space="preserve">As threshold.</w:t>
      </w:r>
      <w:r>
        <w:t xml:space="preserve"> </w:t>
      </w:r>
    </w:p>
    <w:bookmarkEnd w:id="195"/>
    <w:bookmarkStart w:id="196" w:name="assessment-39"/>
    <w:p>
      <w:pPr>
        <w:pStyle w:val="berschrift5"/>
      </w:pPr>
      <w:r>
        <w:t xml:space="preserve">Assessment:</w:t>
      </w:r>
    </w:p>
    <w:p>
      <w:pPr>
        <w:pStyle w:val="Compact"/>
        <w:numPr>
          <w:ilvl w:val="0"/>
          <w:numId w:val="1071"/>
        </w:numPr>
      </w:pPr>
      <w:r>
        <w:t xml:space="preserve">Threshold Self-Assessment:</w:t>
      </w:r>
    </w:p>
    <w:p>
      <w:pPr>
        <w:pStyle w:val="Compact"/>
        <w:numPr>
          <w:ilvl w:val="0"/>
          <w:numId w:val="1071"/>
        </w:numPr>
      </w:pPr>
      <w:r>
        <w:t xml:space="preserve">Goal Self-Assessment:</w:t>
      </w:r>
    </w:p>
    <w:p>
      <w:pPr>
        <w:pStyle w:val="Compact"/>
        <w:numPr>
          <w:ilvl w:val="0"/>
          <w:numId w:val="1071"/>
        </w:numPr>
      </w:pPr>
      <w:r>
        <w:t xml:space="preserve">Self-Assessment Explanation/ Justification:</w:t>
      </w:r>
    </w:p>
    <w:p>
      <w:pPr>
        <w:pStyle w:val="Compact"/>
        <w:numPr>
          <w:ilvl w:val="0"/>
          <w:numId w:val="1071"/>
        </w:numPr>
      </w:pPr>
      <w:r>
        <w:t xml:space="preserve">Recommended Requirement Modification:</w:t>
      </w:r>
    </w:p>
    <w:p>
      <w:r>
        <w:pict>
          <v:rect style="width:0;height:1.5pt" o:hralign="center" o:hrstd="t" o:hr="t"/>
        </w:pict>
      </w:r>
    </w:p>
    <w:bookmarkEnd w:id="196"/>
    <w:bookmarkEnd w:id="197"/>
    <w:bookmarkStart w:id="201" w:name="sec:rcm.metadata-scaling-conversion"/>
    <w:p>
      <w:pPr>
        <w:pStyle w:val="berschrift4"/>
      </w:pPr>
      <w:r>
        <w:rPr>
          <w:rStyle w:val="VerbatimChar"/>
        </w:rPr>
        <w:t xml:space="preserve">5.2.</w:t>
      </w:r>
      <w:r>
        <w:t xml:space="preserve"> </w:t>
      </w:r>
      <w:r>
        <w:t xml:space="preserve">Scaling Conversion</w:t>
      </w:r>
    </w:p>
    <w:p>
      <w:pPr>
        <w:pStyle w:val="FirstParagraph"/>
      </w:pPr>
      <w:r>
        <w:t xml:space="preserve">Identifier:</w:t>
      </w:r>
      <w:r>
        <w:t xml:space="preserve"> </w:t>
      </w:r>
      <w:r>
        <w:rPr>
          <w:rStyle w:val="VerbatimChar"/>
        </w:rPr>
        <w:t xml:space="preserve">rcm.metadata-scaling-conversion</w:t>
      </w:r>
    </w:p>
    <w:bookmarkStart w:id="198" w:name="threshold-requirements-40"/>
    <w:p>
      <w:pPr>
        <w:pStyle w:val="berschrift5"/>
      </w:pPr>
      <w:r>
        <w:t xml:space="preserve">Threshold requirements:</w:t>
      </w:r>
    </w:p>
    <w:p>
      <w:pPr>
        <w:pStyle w:val="FirstParagraph"/>
      </w:pPr>
      <w:r>
        <w:t xml:space="preserve">If applicable, indicate the equation to convert pixel linear amplitude/power to logarithmic decibel scale, including, if applicable, the associated calibration (dB offset) factor, and/or the equation used to convert compressed data (int8/int16/float16) to float32.</w:t>
      </w:r>
    </w:p>
    <w:bookmarkEnd w:id="198"/>
    <w:bookmarkStart w:id="199" w:name="goal-requirements-40"/>
    <w:p>
      <w:pPr>
        <w:pStyle w:val="berschrift5"/>
      </w:pPr>
      <w:r>
        <w:t xml:space="preserve">Goal requirements:</w:t>
      </w:r>
    </w:p>
    <w:p>
      <w:pPr>
        <w:pStyle w:val="FirstParagraph"/>
      </w:pPr>
      <w:r>
        <w:t xml:space="preserve">As threshold, but use of float32.</w:t>
      </w:r>
    </w:p>
    <w:bookmarkEnd w:id="199"/>
    <w:bookmarkStart w:id="200" w:name="assessment-40"/>
    <w:p>
      <w:pPr>
        <w:pStyle w:val="berschrift5"/>
      </w:pPr>
      <w:r>
        <w:t xml:space="preserve">Assessment:</w:t>
      </w:r>
    </w:p>
    <w:p>
      <w:pPr>
        <w:pStyle w:val="Compact"/>
        <w:numPr>
          <w:ilvl w:val="0"/>
          <w:numId w:val="1072"/>
        </w:numPr>
      </w:pPr>
      <w:r>
        <w:t xml:space="preserve">Threshold Self-Assessment:</w:t>
      </w:r>
    </w:p>
    <w:p>
      <w:pPr>
        <w:pStyle w:val="Compact"/>
        <w:numPr>
          <w:ilvl w:val="0"/>
          <w:numId w:val="1072"/>
        </w:numPr>
      </w:pPr>
      <w:r>
        <w:t xml:space="preserve">Goal Self-Assessment:</w:t>
      </w:r>
    </w:p>
    <w:p>
      <w:pPr>
        <w:pStyle w:val="Compact"/>
        <w:numPr>
          <w:ilvl w:val="0"/>
          <w:numId w:val="1072"/>
        </w:numPr>
      </w:pPr>
      <w:r>
        <w:t xml:space="preserve">Self-Assessment Explanation/ Justification:</w:t>
      </w:r>
    </w:p>
    <w:p>
      <w:pPr>
        <w:pStyle w:val="Compact"/>
        <w:numPr>
          <w:ilvl w:val="0"/>
          <w:numId w:val="1072"/>
        </w:numPr>
      </w:pPr>
      <w:r>
        <w:t xml:space="preserve">Recommended Requirement Modification:</w:t>
      </w:r>
    </w:p>
    <w:p>
      <w:r>
        <w:pict>
          <v:rect style="width:0;height:1.5pt" o:hralign="center" o:hrstd="t" o:hr="t"/>
        </w:pict>
      </w:r>
    </w:p>
    <w:bookmarkEnd w:id="200"/>
    <w:bookmarkEnd w:id="201"/>
    <w:bookmarkStart w:id="205" w:name="sec:rcm.metadata-noise-removal"/>
    <w:p>
      <w:pPr>
        <w:pStyle w:val="berschrift4"/>
      </w:pPr>
      <w:r>
        <w:rPr>
          <w:rStyle w:val="VerbatimChar"/>
        </w:rPr>
        <w:t xml:space="preserve">5.3.</w:t>
      </w:r>
      <w:r>
        <w:t xml:space="preserve"> </w:t>
      </w:r>
      <w:r>
        <w:t xml:space="preserve">Noise Removal</w:t>
      </w:r>
    </w:p>
    <w:p>
      <w:pPr>
        <w:pStyle w:val="FirstParagraph"/>
      </w:pPr>
      <w:r>
        <w:t xml:space="preserve">Identifier:</w:t>
      </w:r>
      <w:r>
        <w:t xml:space="preserve"> </w:t>
      </w:r>
      <w:r>
        <w:rPr>
          <w:rStyle w:val="VerbatimChar"/>
        </w:rPr>
        <w:t xml:space="preserve">rcm.metadata-noise-removal</w:t>
      </w:r>
    </w:p>
    <w:bookmarkStart w:id="202" w:name="threshold-requirements-41"/>
    <w:p>
      <w:pPr>
        <w:pStyle w:val="berschrift5"/>
      </w:pPr>
      <w:r>
        <w:t xml:space="preserve">Threshold requirements:</w:t>
      </w:r>
    </w:p>
    <w:p>
      <w:pPr>
        <w:pStyle w:val="FirstParagraph"/>
      </w:pPr>
      <w:r>
        <w:t xml:space="preserve">Flag if noise removal has been applied (Y/N).</w:t>
      </w:r>
      <w:r>
        <w:t xml:space="preserve"> </w:t>
      </w:r>
      <w:r>
        <w:t xml:space="preserve">Metadata should include the noise removal algorithm and reference to the algorithm as URL or DOI.</w:t>
      </w:r>
    </w:p>
    <w:p>
      <w:pPr>
        <w:pStyle w:val="Textkrper"/>
      </w:pPr>
      <w:r>
        <w:t xml:space="preserve">Notes:</w:t>
      </w:r>
    </w:p>
    <w:p>
      <w:pPr>
        <w:pStyle w:val="Compact"/>
        <w:numPr>
          <w:ilvl w:val="0"/>
          <w:numId w:val="1073"/>
        </w:numPr>
      </w:pPr>
      <w:r>
        <w:t xml:space="preserve">Thermal noise removal and image border noise removal to remove overall scene noise and scene edge artefacts, respectively.</w:t>
      </w:r>
    </w:p>
    <w:bookmarkEnd w:id="202"/>
    <w:bookmarkStart w:id="203" w:name="goal-requirements-41"/>
    <w:p>
      <w:pPr>
        <w:pStyle w:val="berschrift5"/>
      </w:pPr>
      <w:r>
        <w:t xml:space="preserve">Goal requirements:</w:t>
      </w:r>
    </w:p>
    <w:p>
      <w:pPr>
        <w:pStyle w:val="FirstParagraph"/>
      </w:pPr>
      <w:r>
        <w:t xml:space="preserve">As threshold.</w:t>
      </w:r>
      <w:r>
        <w:t xml:space="preserve"> </w:t>
      </w:r>
    </w:p>
    <w:bookmarkEnd w:id="203"/>
    <w:bookmarkStart w:id="204" w:name="assessment-41"/>
    <w:p>
      <w:pPr>
        <w:pStyle w:val="berschrift5"/>
      </w:pPr>
      <w:r>
        <w:t xml:space="preserve">Assessment:</w:t>
      </w:r>
    </w:p>
    <w:p>
      <w:pPr>
        <w:pStyle w:val="Compact"/>
        <w:numPr>
          <w:ilvl w:val="0"/>
          <w:numId w:val="1074"/>
        </w:numPr>
      </w:pPr>
      <w:r>
        <w:t xml:space="preserve">Threshold Self-Assessment:</w:t>
      </w:r>
    </w:p>
    <w:p>
      <w:pPr>
        <w:pStyle w:val="Compact"/>
        <w:numPr>
          <w:ilvl w:val="0"/>
          <w:numId w:val="1074"/>
        </w:numPr>
      </w:pPr>
      <w:r>
        <w:t xml:space="preserve">Goal Self-Assessment:</w:t>
      </w:r>
    </w:p>
    <w:p>
      <w:pPr>
        <w:pStyle w:val="Compact"/>
        <w:numPr>
          <w:ilvl w:val="0"/>
          <w:numId w:val="1074"/>
        </w:numPr>
      </w:pPr>
      <w:r>
        <w:t xml:space="preserve">Self-Assessment Explanation/ Justification:</w:t>
      </w:r>
    </w:p>
    <w:p>
      <w:pPr>
        <w:pStyle w:val="Compact"/>
        <w:numPr>
          <w:ilvl w:val="0"/>
          <w:numId w:val="1074"/>
        </w:numPr>
      </w:pPr>
      <w:r>
        <w:t xml:space="preserve">Recommended Requirement Modification:</w:t>
      </w:r>
    </w:p>
    <w:p>
      <w:r>
        <w:pict>
          <v:rect style="width:0;height:1.5pt" o:hralign="center" o:hrstd="t" o:hr="t"/>
        </w:pict>
      </w:r>
    </w:p>
    <w:bookmarkEnd w:id="204"/>
    <w:bookmarkEnd w:id="205"/>
    <w:bookmarkStart w:id="209" w:name="Xb88bc7c96e2b484b86bc3560a2c054b7bf2b073"/>
    <w:p>
      <w:pPr>
        <w:pStyle w:val="berschrift4"/>
      </w:pPr>
      <w:r>
        <w:rPr>
          <w:rStyle w:val="VerbatimChar"/>
        </w:rPr>
        <w:t xml:space="preserve">5.4.</w:t>
      </w:r>
      <w:r>
        <w:t xml:space="preserve"> </w:t>
      </w:r>
      <w:r>
        <w:t xml:space="preserve">Radiometric Terrain Correction Algorithm</w:t>
      </w:r>
    </w:p>
    <w:p>
      <w:pPr>
        <w:pStyle w:val="FirstParagraph"/>
      </w:pPr>
      <w:r>
        <w:t xml:space="preserve">Identifier:</w:t>
      </w:r>
      <w:r>
        <w:t xml:space="preserve"> </w:t>
      </w:r>
      <w:r>
        <w:rPr>
          <w:rStyle w:val="VerbatimChar"/>
        </w:rPr>
        <w:t xml:space="preserve">rcm.corrections-radiometric-terrain-algo</w:t>
      </w:r>
    </w:p>
    <w:bookmarkStart w:id="206" w:name="threshold-requirements-42"/>
    <w:p>
      <w:pPr>
        <w:pStyle w:val="berschrift5"/>
      </w:pPr>
      <w:r>
        <w:t xml:space="preserve">Threshold requirements:</w:t>
      </w:r>
    </w:p>
    <w:p>
      <w:pPr>
        <w:pStyle w:val="FirstParagraph"/>
      </w:pPr>
      <w:r>
        <w:t xml:space="preserve">Adjustments were made for terrain by modelling the local contributing scattering area using the preferred choice of a published peer-reviewed algorithm to produce radiometrically terrain corrected (RTC)</w:t>
      </w:r>
      <w:r>
        <w:t xml:space="preserve"> </w:t>
      </w:r>
      <m:oMath>
        <m:sSubSup>
          <m:e>
            <m:r>
              <m:t>γ</m:t>
            </m:r>
          </m:e>
          <m:sub>
            <m:r>
              <m:t>T</m:t>
            </m:r>
          </m:sub>
          <m:sup>
            <m:r>
              <m:t>0</m:t>
            </m:r>
          </m:sup>
        </m:sSubSup>
      </m:oMath>
      <w:r>
        <w:t xml:space="preserve"> </w:t>
      </w:r>
      <w:r>
        <w:t xml:space="preserve">backscatter estimates.</w:t>
      </w:r>
    </w:p>
    <w:p>
      <w:pPr>
        <w:pStyle w:val="Textkrper"/>
      </w:pPr>
      <w:r>
        <w:t xml:space="preserve">Metadata references, e.g.</w:t>
      </w:r>
    </w:p>
    <w:p>
      <w:pPr>
        <w:pStyle w:val="Compact"/>
        <w:numPr>
          <w:ilvl w:val="0"/>
          <w:numId w:val="1075"/>
        </w:numPr>
      </w:pPr>
      <w:r>
        <w:t xml:space="preserve">a citable peer-reviewed algorithm</w:t>
      </w:r>
    </w:p>
    <w:p>
      <w:pPr>
        <w:pStyle w:val="Compact"/>
        <w:numPr>
          <w:ilvl w:val="0"/>
          <w:numId w:val="1075"/>
        </w:numPr>
      </w:pPr>
      <w:r>
        <w:t xml:space="preserve">technical documentation regarding the algorithm used to generate the backscatter estimates is expressed as URLs or DOIs</w:t>
      </w:r>
    </w:p>
    <w:p>
      <w:pPr>
        <w:pStyle w:val="Compact"/>
        <w:numPr>
          <w:ilvl w:val="0"/>
          <w:numId w:val="1075"/>
        </w:numPr>
      </w:pPr>
      <w:r>
        <w:t xml:space="preserve">the sources of auxiliary data used to make corrections</w:t>
      </w:r>
    </w:p>
    <w:p>
      <w:pPr>
        <w:pStyle w:val="FirstParagraph"/>
      </w:pPr>
      <w:r>
        <w:t xml:space="preserve">Notes:</w:t>
      </w:r>
    </w:p>
    <w:p>
      <w:pPr>
        <w:pStyle w:val="Compact"/>
        <w:numPr>
          <w:ilvl w:val="0"/>
          <w:numId w:val="1076"/>
        </w:numPr>
      </w:pPr>
      <w:r>
        <w:t xml:space="preserve">Examples of technical documentation include an Algorithm, Theoretical Basis Document, product user guide, etc.</w:t>
      </w:r>
    </w:p>
    <w:bookmarkEnd w:id="206"/>
    <w:bookmarkStart w:id="207" w:name="goal-requirements-42"/>
    <w:p>
      <w:pPr>
        <w:pStyle w:val="berschrift5"/>
      </w:pPr>
      <w:r>
        <w:t xml:space="preserve">Goal requirements:</w:t>
      </w:r>
    </w:p>
    <w:p>
      <w:pPr>
        <w:pStyle w:val="FirstParagraph"/>
      </w:pPr>
      <w:r>
        <w:t xml:space="preserve">As threshold.</w:t>
      </w:r>
      <w:r>
        <w:t xml:space="preserve"> </w:t>
      </w:r>
    </w:p>
    <w:bookmarkEnd w:id="207"/>
    <w:bookmarkStart w:id="208" w:name="assessment-42"/>
    <w:p>
      <w:pPr>
        <w:pStyle w:val="berschrift5"/>
      </w:pPr>
      <w:r>
        <w:t xml:space="preserve">Assessment:</w:t>
      </w:r>
    </w:p>
    <w:p>
      <w:pPr>
        <w:pStyle w:val="Compact"/>
        <w:numPr>
          <w:ilvl w:val="0"/>
          <w:numId w:val="1077"/>
        </w:numPr>
      </w:pPr>
      <w:r>
        <w:t xml:space="preserve">Threshold Self-Assessment:</w:t>
      </w:r>
    </w:p>
    <w:p>
      <w:pPr>
        <w:pStyle w:val="Compact"/>
        <w:numPr>
          <w:ilvl w:val="0"/>
          <w:numId w:val="1077"/>
        </w:numPr>
      </w:pPr>
      <w:r>
        <w:t xml:space="preserve">Goal Self-Assessment:</w:t>
      </w:r>
    </w:p>
    <w:p>
      <w:pPr>
        <w:pStyle w:val="Compact"/>
        <w:numPr>
          <w:ilvl w:val="0"/>
          <w:numId w:val="1077"/>
        </w:numPr>
      </w:pPr>
      <w:r>
        <w:t xml:space="preserve">Self-Assessment Explanation/ Justification:</w:t>
      </w:r>
    </w:p>
    <w:p>
      <w:pPr>
        <w:pStyle w:val="Compact"/>
        <w:numPr>
          <w:ilvl w:val="0"/>
          <w:numId w:val="1077"/>
        </w:numPr>
      </w:pPr>
      <w:r>
        <w:t xml:space="preserve">Recommended Requirement Modification:</w:t>
      </w:r>
    </w:p>
    <w:p>
      <w:r>
        <w:pict>
          <v:rect style="width:0;height:1.5pt" o:hralign="center" o:hrstd="t" o:hr="t"/>
        </w:pict>
      </w:r>
    </w:p>
    <w:bookmarkEnd w:id="208"/>
    <w:bookmarkEnd w:id="209"/>
    <w:bookmarkStart w:id="213" w:name="sec:rcm.metadata-radiometric-accuracy"/>
    <w:p>
      <w:pPr>
        <w:pStyle w:val="berschrift4"/>
      </w:pPr>
      <w:r>
        <w:rPr>
          <w:rStyle w:val="VerbatimChar"/>
        </w:rPr>
        <w:t xml:space="preserve">5.5.</w:t>
      </w:r>
      <w:r>
        <w:t xml:space="preserve"> </w:t>
      </w:r>
      <w:r>
        <w:t xml:space="preserve">Radiometric Accuracy</w:t>
      </w:r>
    </w:p>
    <w:p>
      <w:pPr>
        <w:pStyle w:val="FirstParagraph"/>
      </w:pPr>
      <w:r>
        <w:t xml:space="preserve">Identifier:</w:t>
      </w:r>
      <w:r>
        <w:t xml:space="preserve"> </w:t>
      </w:r>
      <w:r>
        <w:rPr>
          <w:rStyle w:val="VerbatimChar"/>
        </w:rPr>
        <w:t xml:space="preserve">rcm.metadata-radiometric-accuracy</w:t>
      </w:r>
    </w:p>
    <w:bookmarkStart w:id="210" w:name="threshold-requirements-43"/>
    <w:p>
      <w:pPr>
        <w:pStyle w:val="berschrift5"/>
      </w:pPr>
      <w:r>
        <w:t xml:space="preserve">Threshold requirements:</w:t>
      </w:r>
    </w:p>
    <w:p>
      <w:pPr>
        <w:pStyle w:val="FirstParagraph"/>
      </w:pPr>
      <w:r>
        <w:t xml:space="preserve">Not required.</w:t>
      </w:r>
      <w:r>
        <w:t xml:space="preserve"> </w:t>
      </w:r>
    </w:p>
    <w:bookmarkEnd w:id="210"/>
    <w:bookmarkStart w:id="211" w:name="goal-requirements-43"/>
    <w:p>
      <w:pPr>
        <w:pStyle w:val="berschrift5"/>
      </w:pPr>
      <w:r>
        <w:t xml:space="preserve">Goal requirements:</w:t>
      </w:r>
    </w:p>
    <w:p>
      <w:pPr>
        <w:pStyle w:val="FirstParagraph"/>
      </w:pPr>
      <w:r>
        <w:t xml:space="preserve">Uncertainty (e.g., bounds on</w:t>
      </w:r>
      <w:r>
        <w:t xml:space="preserve"> </w:t>
      </w:r>
      <m:oMath>
        <m:sSup>
          <m:e>
            <m:r>
              <m:t>γ</m:t>
            </m:r>
          </m:e>
          <m:sup>
            <m:r>
              <m:t>0</m:t>
            </m:r>
          </m:sup>
        </m:sSup>
      </m:oMath>
      <w:r>
        <w:t xml:space="preserve"> </w:t>
      </w:r>
      <w:r>
        <w:t xml:space="preserve">or</w:t>
      </w:r>
      <w:r>
        <w:t xml:space="preserve"> </w:t>
      </w:r>
      <m:oMath>
        <m:sSup>
          <m:e>
            <m:r>
              <m:t>σ</m:t>
            </m:r>
          </m:e>
          <m:sup>
            <m:r>
              <m:t>0</m:t>
            </m:r>
          </m:sup>
        </m:sSup>
      </m:oMath>
      <w:r>
        <w:t xml:space="preserve">) information is provided as document referenced as URL or DOI.</w:t>
      </w:r>
      <w:r>
        <w:t xml:space="preserve"> </w:t>
      </w:r>
      <w:r>
        <w:t xml:space="preserve">SI traceability is achieved.</w:t>
      </w:r>
    </w:p>
    <w:bookmarkEnd w:id="211"/>
    <w:bookmarkStart w:id="212" w:name="assessment-43"/>
    <w:p>
      <w:pPr>
        <w:pStyle w:val="berschrift5"/>
      </w:pPr>
      <w:r>
        <w:t xml:space="preserve">Assessment:</w:t>
      </w:r>
    </w:p>
    <w:p>
      <w:pPr>
        <w:pStyle w:val="Compact"/>
        <w:numPr>
          <w:ilvl w:val="0"/>
          <w:numId w:val="1078"/>
        </w:numPr>
      </w:pPr>
      <w:r>
        <w:t xml:space="preserve">Threshold Self-Assessment:</w:t>
      </w:r>
    </w:p>
    <w:p>
      <w:pPr>
        <w:pStyle w:val="Compact"/>
        <w:numPr>
          <w:ilvl w:val="0"/>
          <w:numId w:val="1078"/>
        </w:numPr>
      </w:pPr>
      <w:r>
        <w:t xml:space="preserve">Goal Self-Assessment:</w:t>
      </w:r>
    </w:p>
    <w:p>
      <w:pPr>
        <w:pStyle w:val="Compact"/>
        <w:numPr>
          <w:ilvl w:val="0"/>
          <w:numId w:val="1078"/>
        </w:numPr>
      </w:pPr>
      <w:r>
        <w:t xml:space="preserve">Self-Assessment Explanation/ Justification:</w:t>
      </w:r>
    </w:p>
    <w:p>
      <w:pPr>
        <w:pStyle w:val="Compact"/>
        <w:numPr>
          <w:ilvl w:val="0"/>
          <w:numId w:val="1078"/>
        </w:numPr>
      </w:pPr>
      <w:r>
        <w:t xml:space="preserve">Recommended Requirement Modification:</w:t>
      </w:r>
    </w:p>
    <w:p>
      <w:r>
        <w:pict>
          <v:rect style="width:0;height:1.5pt" o:hralign="center" o:hrstd="t" o:hr="t"/>
        </w:pict>
      </w:r>
    </w:p>
    <w:bookmarkEnd w:id="212"/>
    <w:bookmarkEnd w:id="213"/>
    <w:bookmarkStart w:id="217" w:name="sec:rcm.measurements-flattened-phase"/>
    <w:p>
      <w:pPr>
        <w:pStyle w:val="berschrift4"/>
      </w:pPr>
      <w:r>
        <w:rPr>
          <w:rStyle w:val="VerbatimChar"/>
        </w:rPr>
        <w:t xml:space="preserve">5.6.</w:t>
      </w:r>
      <w:r>
        <w:t xml:space="preserve"> </w:t>
      </w:r>
      <w:r>
        <w:t xml:space="preserve">Flattened Phase</w:t>
      </w:r>
    </w:p>
    <w:p>
      <w:pPr>
        <w:pStyle w:val="FirstParagraph"/>
      </w:pPr>
      <w:r>
        <w:t xml:space="preserve">Identifier:</w:t>
      </w:r>
      <w:r>
        <w:t xml:space="preserve"> </w:t>
      </w:r>
      <w:r>
        <w:rPr>
          <w:rStyle w:val="VerbatimChar"/>
        </w:rPr>
        <w:t xml:space="preserve">rcm.measurements-flattened-phase</w:t>
      </w:r>
    </w:p>
    <w:p>
      <w:pPr>
        <w:pStyle w:val="Textkrper"/>
      </w:pPr>
      <w:r>
        <w:rPr>
          <w:b/>
          <w:bCs/>
        </w:rPr>
        <w:t xml:space="preserve">Usage: Alternative to GSLC product for NRB and POL products</w:t>
      </w:r>
    </w:p>
    <w:bookmarkStart w:id="214" w:name="threshold-requirements-44"/>
    <w:p>
      <w:pPr>
        <w:pStyle w:val="berschrift5"/>
      </w:pPr>
      <w:r>
        <w:t xml:space="preserve">Threshold requirements:</w:t>
      </w:r>
    </w:p>
    <w:p>
      <w:pPr>
        <w:pStyle w:val="FirstParagraph"/>
      </w:pPr>
      <w:r>
        <w:t xml:space="preserve">Not required.</w:t>
      </w:r>
      <w:r>
        <w:t xml:space="preserve"> </w:t>
      </w:r>
    </w:p>
    <w:bookmarkEnd w:id="214"/>
    <w:bookmarkStart w:id="215" w:name="goal-requirements-44"/>
    <w:p>
      <w:pPr>
        <w:pStyle w:val="berschrift5"/>
      </w:pPr>
      <w:r>
        <w:t xml:space="preserve">Goal requirements:</w:t>
      </w:r>
    </w:p>
    <w:p>
      <w:pPr>
        <w:pStyle w:val="FirstParagraph"/>
      </w:pPr>
      <w:r>
        <w:t xml:space="preserve">The Flattened Phase is the interferometric phase for which the topographic phase contribution is removed.</w:t>
      </w:r>
      <w:r>
        <w:t xml:space="preserve"> </w:t>
      </w:r>
      <w:r>
        <w:t xml:space="preserve">It is derived from the range-Doppler SLC product using a DEM and the orbital state vectors with respect to a reference orbit (see Section </w:t>
      </w:r>
      <w:r>
        <w:t xml:space="preserve">“</w:t>
      </w:r>
      <w:hyperlink w:anchor="sec:annex-sar-topographic-phase-removal">
        <w:r>
          <w:rPr>
            <w:rStyle w:val="Hyperlink"/>
          </w:rPr>
          <w:t xml:space="preserve">Topographic phase removal</w:t>
        </w:r>
      </w:hyperlink>
      <w:r>
        <w:t xml:space="preserve">”</w:t>
      </w:r>
      <w:r>
        <w:t xml:space="preserve">).</w:t>
      </w:r>
      <w:r>
        <w:t xml:space="preserve"> </w:t>
      </w:r>
      <w:r>
        <w:t xml:space="preserve">The use of the Flattened Phase with the NRB or POL intensity (Section </w:t>
      </w:r>
      <w:r>
        <w:t xml:space="preserve">“</w:t>
      </w:r>
      <w:hyperlink w:anchor="sec:rcm">
        <w:r>
          <w:rPr>
            <w:rStyle w:val="Hyperlink"/>
          </w:rPr>
          <w:t xml:space="preserve">Radiometrically Corrected Measurements</w:t>
        </w:r>
      </w:hyperlink>
      <w:r>
        <w:t xml:space="preserve">”</w:t>
      </w:r>
      <w:r>
        <w:t xml:space="preserve">) provides the GSLC equivalent, as follows:</w:t>
      </w:r>
    </w:p>
    <w:p>
      <w:pPr>
        <w:pStyle w:val="Textkrper"/>
      </w:pPr>
      <m:oMathPara>
        <m:oMathParaPr>
          <m:jc m:val="center"/>
        </m:oMathParaPr>
        <m:oMath>
          <m:r>
            <m:rPr>
              <m:nor/>
              <m:sty m:val="p"/>
            </m:rPr>
            <m:t>GSLC</m:t>
          </m:r>
          <m:r>
            <m:rPr>
              <m:sty m:val="p"/>
            </m:rPr>
            <m:t>=</m:t>
          </m:r>
          <m:rad>
            <m:radPr>
              <m:degHide m:val="on"/>
            </m:radPr>
            <m:deg/>
            <m:e>
              <m:r>
                <m:t>N</m:t>
              </m:r>
              <m:r>
                <m:t>R</m:t>
              </m:r>
              <m:r>
                <m:t>B</m:t>
              </m:r>
            </m:e>
          </m:rad>
          <m:r>
            <m:rPr>
              <m:sty m:val="p"/>
            </m:rPr>
            <m:t>×</m:t>
          </m:r>
          <m:r>
            <m:rPr>
              <m:sty m:val="p"/>
            </m:rPr>
            <m:t>exp</m:t>
          </m:r>
          <m:d>
            <m:dPr>
              <m:begChr m:val="("/>
              <m:sepChr m:val=""/>
              <m:endChr m:val=")"/>
              <m:grow/>
            </m:dPr>
            <m:e>
              <m:r>
                <m:t>j</m:t>
              </m:r>
              <m:r>
                <m:rPr>
                  <m:sty m:val="p"/>
                </m:rPr>
                <m:t>⋅</m:t>
              </m:r>
              <m:r>
                <m:rPr>
                  <m:nor/>
                  <m:sty m:val="p"/>
                </m:rPr>
                <m:t>FlattenPhase</m:t>
              </m:r>
            </m:e>
          </m:d>
        </m:oMath>
      </m:oMathPara>
    </w:p>
    <w:p>
      <w:pPr>
        <w:pStyle w:val="FirstParagraph"/>
      </w:pPr>
      <w:r>
        <w:t xml:space="preserve">File format specifications/contents provided in metadata:</w:t>
      </w:r>
    </w:p>
    <w:p>
      <w:pPr>
        <w:pStyle w:val="Compact"/>
        <w:numPr>
          <w:ilvl w:val="0"/>
          <w:numId w:val="1079"/>
        </w:numPr>
      </w:pPr>
      <w:r>
        <w:t xml:space="preserve">Measurement Type (Flattened Phase)</w:t>
      </w:r>
    </w:p>
    <w:p>
      <w:pPr>
        <w:pStyle w:val="Compact"/>
        <w:numPr>
          <w:ilvl w:val="0"/>
          <w:numId w:val="1079"/>
        </w:numPr>
      </w:pPr>
      <w:r>
        <w:t xml:space="preserve">Reference Polarization (HH/HV/VV/VH)</w:t>
      </w:r>
    </w:p>
    <w:p>
      <w:pPr>
        <w:pStyle w:val="Compact"/>
        <w:numPr>
          <w:ilvl w:val="0"/>
          <w:numId w:val="1079"/>
        </w:numPr>
      </w:pPr>
      <w:r>
        <w:t xml:space="preserve">Data Format (GeoTIFF, HDF5, NetCDF, …)</w:t>
      </w:r>
    </w:p>
    <w:p>
      <w:pPr>
        <w:pStyle w:val="Compact"/>
        <w:numPr>
          <w:ilvl w:val="0"/>
          <w:numId w:val="1079"/>
        </w:numPr>
      </w:pPr>
      <w:r>
        <w:t xml:space="preserve">Data Type (Int, Float, …)</w:t>
      </w:r>
    </w:p>
    <w:p>
      <w:pPr>
        <w:pStyle w:val="Compact"/>
        <w:numPr>
          <w:ilvl w:val="0"/>
          <w:numId w:val="1079"/>
        </w:numPr>
      </w:pPr>
      <w:r>
        <w:t xml:space="preserve">Bits per Sample</w:t>
      </w:r>
    </w:p>
    <w:p>
      <w:pPr>
        <w:pStyle w:val="Compact"/>
        <w:numPr>
          <w:ilvl w:val="0"/>
          <w:numId w:val="1079"/>
        </w:numPr>
      </w:pPr>
      <w:r>
        <w:t xml:space="preserve">Byte Order</w:t>
      </w:r>
    </w:p>
    <w:p>
      <w:pPr>
        <w:pStyle w:val="FirstParagraph"/>
      </w:pPr>
      <w:r>
        <w:t xml:space="preserve">In case of polarimetric data, indicate the reference polarization.</w:t>
      </w:r>
    </w:p>
    <w:bookmarkEnd w:id="215"/>
    <w:bookmarkStart w:id="216" w:name="assessment-44"/>
    <w:p>
      <w:pPr>
        <w:pStyle w:val="berschrift5"/>
      </w:pPr>
      <w:r>
        <w:t xml:space="preserve">Assessment:</w:t>
      </w:r>
    </w:p>
    <w:p>
      <w:pPr>
        <w:pStyle w:val="Compact"/>
        <w:numPr>
          <w:ilvl w:val="0"/>
          <w:numId w:val="1080"/>
        </w:numPr>
      </w:pPr>
      <w:r>
        <w:t xml:space="preserve">Threshold Self-Assessment:</w:t>
      </w:r>
    </w:p>
    <w:p>
      <w:pPr>
        <w:pStyle w:val="Compact"/>
        <w:numPr>
          <w:ilvl w:val="0"/>
          <w:numId w:val="1080"/>
        </w:numPr>
      </w:pPr>
      <w:r>
        <w:t xml:space="preserve">Goal Self-Assessment:</w:t>
      </w:r>
    </w:p>
    <w:p>
      <w:pPr>
        <w:pStyle w:val="Compact"/>
        <w:numPr>
          <w:ilvl w:val="0"/>
          <w:numId w:val="1080"/>
        </w:numPr>
      </w:pPr>
      <w:r>
        <w:t xml:space="preserve">Self-Assessment Explanation/ Justification:</w:t>
      </w:r>
    </w:p>
    <w:p>
      <w:pPr>
        <w:pStyle w:val="Compact"/>
        <w:numPr>
          <w:ilvl w:val="0"/>
          <w:numId w:val="1080"/>
        </w:numPr>
      </w:pPr>
      <w:r>
        <w:t xml:space="preserve">Recommended Requirement Modification:</w:t>
      </w:r>
    </w:p>
    <w:bookmarkEnd w:id="216"/>
    <w:bookmarkEnd w:id="217"/>
    <w:bookmarkEnd w:id="218"/>
    <w:bookmarkStart w:id="239" w:name="sec:gcor"/>
    <w:p>
      <w:pPr>
        <w:pStyle w:val="berschrift3"/>
      </w:pPr>
      <w:r>
        <w:rPr>
          <w:rStyle w:val="VerbatimChar"/>
        </w:rPr>
        <w:t xml:space="preserve">6.</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222" w:name="X20bf532dfcc73429023dc2f9b692bfe29adce2f"/>
    <w:p>
      <w:pPr>
        <w:pStyle w:val="berschrift4"/>
      </w:pPr>
      <w:r>
        <w:rPr>
          <w:rStyle w:val="VerbatimChar"/>
        </w:rPr>
        <w:t xml:space="preserve">6.1.</w:t>
      </w:r>
      <w:r>
        <w:t xml:space="preserve"> </w:t>
      </w:r>
      <w:r>
        <w:t xml:space="preserve">Geometric Correction Algorithm</w:t>
      </w:r>
    </w:p>
    <w:p>
      <w:pPr>
        <w:pStyle w:val="FirstParagraph"/>
      </w:pPr>
      <w:r>
        <w:t xml:space="preserve">Identifier:</w:t>
      </w:r>
      <w:r>
        <w:t xml:space="preserve"> </w:t>
      </w:r>
      <w:r>
        <w:rPr>
          <w:rStyle w:val="VerbatimChar"/>
        </w:rPr>
        <w:t xml:space="preserve">gcor.metadata-geometric-correction-algorithm</w:t>
      </w:r>
    </w:p>
    <w:bookmarkStart w:id="219" w:name="threshold-requirements-45"/>
    <w:p>
      <w:pPr>
        <w:pStyle w:val="berschrift5"/>
      </w:pPr>
      <w:r>
        <w:t xml:space="preserve">Threshold requirements:</w:t>
      </w:r>
    </w:p>
    <w:p>
      <w:pPr>
        <w:pStyle w:val="FirstParagraph"/>
      </w:pPr>
      <w:r>
        <w:t xml:space="preserve">Not required.</w:t>
      </w:r>
      <w:r>
        <w:t xml:space="preserve"> </w:t>
      </w:r>
    </w:p>
    <w:bookmarkEnd w:id="219"/>
    <w:bookmarkStart w:id="220" w:name="goal-requirements-45"/>
    <w:p>
      <w:pPr>
        <w:pStyle w:val="berschrift5"/>
      </w:pPr>
      <w:r>
        <w:t xml:space="preserve">Goal requirements:</w:t>
      </w:r>
    </w:p>
    <w:p>
      <w:pPr>
        <w:pStyle w:val="FirstParagraph"/>
      </w:pPr>
      <w:r>
        <w:t xml:space="preserve">Metadata references, e.g.:</w:t>
      </w:r>
    </w:p>
    <w:p>
      <w:pPr>
        <w:pStyle w:val="Compact"/>
        <w:numPr>
          <w:ilvl w:val="0"/>
          <w:numId w:val="1081"/>
        </w:numPr>
      </w:pPr>
      <w:r>
        <w:t xml:space="preserve">A metadata citable peer-reviewed algorithm</w:t>
      </w:r>
    </w:p>
    <w:p>
      <w:pPr>
        <w:pStyle w:val="Compact"/>
        <w:numPr>
          <w:ilvl w:val="0"/>
          <w:numId w:val="1081"/>
        </w:numPr>
      </w:pPr>
      <w:r>
        <w:t xml:space="preserve">Technical documentation regarding the implementation of that algorithm expressed as URLs or DOIs</w:t>
      </w:r>
    </w:p>
    <w:p>
      <w:pPr>
        <w:pStyle w:val="Compact"/>
        <w:numPr>
          <w:ilvl w:val="0"/>
          <w:numId w:val="1081"/>
        </w:numPr>
      </w:pPr>
      <w:r>
        <w:t xml:space="preserve">The sources of auxiliary data used to make corrections</w:t>
      </w:r>
    </w:p>
    <w:p>
      <w:pPr>
        <w:pStyle w:val="Compact"/>
        <w:numPr>
          <w:ilvl w:val="0"/>
          <w:numId w:val="1081"/>
        </w:numPr>
      </w:pPr>
      <w:r>
        <w:t xml:space="preserve">Resampling method used for geometric processing of the source data</w:t>
      </w:r>
    </w:p>
    <w:p>
      <w:pPr>
        <w:pStyle w:val="FirstParagraph"/>
      </w:pPr>
      <w:r>
        <w:t xml:space="preserve">Notes:</w:t>
      </w:r>
    </w:p>
    <w:p>
      <w:pPr>
        <w:pStyle w:val="Compact"/>
        <w:numPr>
          <w:ilvl w:val="0"/>
          <w:numId w:val="1082"/>
        </w:numPr>
      </w:pPr>
      <w:r>
        <w:t xml:space="preserve">Examples of technical documentation can include e.g., an Algorithm Theoretical Basis Document (ATBD) or a product user guide.</w:t>
      </w:r>
    </w:p>
    <w:bookmarkEnd w:id="220"/>
    <w:bookmarkStart w:id="221" w:name="assessment-45"/>
    <w:p>
      <w:pPr>
        <w:pStyle w:val="berschrift5"/>
      </w:pPr>
      <w:r>
        <w:t xml:space="preserve">Assessment:</w:t>
      </w:r>
    </w:p>
    <w:p>
      <w:pPr>
        <w:pStyle w:val="Compact"/>
        <w:numPr>
          <w:ilvl w:val="0"/>
          <w:numId w:val="1083"/>
        </w:numPr>
      </w:pPr>
      <w:r>
        <w:t xml:space="preserve">Threshold Self-Assessment:</w:t>
      </w:r>
    </w:p>
    <w:p>
      <w:pPr>
        <w:pStyle w:val="Compact"/>
        <w:numPr>
          <w:ilvl w:val="0"/>
          <w:numId w:val="1083"/>
        </w:numPr>
      </w:pPr>
      <w:r>
        <w:t xml:space="preserve">Goal Self-Assessment:</w:t>
      </w:r>
    </w:p>
    <w:p>
      <w:pPr>
        <w:pStyle w:val="Compact"/>
        <w:numPr>
          <w:ilvl w:val="0"/>
          <w:numId w:val="1083"/>
        </w:numPr>
      </w:pPr>
      <w:r>
        <w:t xml:space="preserve">Self-Assessment Explanation/ Justification:</w:t>
      </w:r>
    </w:p>
    <w:p>
      <w:pPr>
        <w:pStyle w:val="Compact"/>
        <w:numPr>
          <w:ilvl w:val="0"/>
          <w:numId w:val="1083"/>
        </w:numPr>
      </w:pPr>
      <w:r>
        <w:t xml:space="preserve">Recommended Requirement Modification:</w:t>
      </w:r>
    </w:p>
    <w:p>
      <w:r>
        <w:pict>
          <v:rect style="width:0;height:1.5pt" o:hralign="center" o:hrstd="t" o:hr="t"/>
        </w:pict>
      </w:r>
    </w:p>
    <w:bookmarkEnd w:id="221"/>
    <w:bookmarkEnd w:id="222"/>
    <w:bookmarkStart w:id="226" w:name="sec:gcor.corrections-dem"/>
    <w:p>
      <w:pPr>
        <w:pStyle w:val="berschrift4"/>
      </w:pPr>
      <w:r>
        <w:rPr>
          <w:rStyle w:val="VerbatimChar"/>
        </w:rPr>
        <w:t xml:space="preserve">6.2.</w:t>
      </w:r>
      <w:r>
        <w:t xml:space="preserve"> </w:t>
      </w:r>
      <w:r>
        <w:t xml:space="preserve">Digital Elevation Model</w:t>
      </w:r>
    </w:p>
    <w:p>
      <w:pPr>
        <w:pStyle w:val="FirstParagraph"/>
      </w:pPr>
      <w:r>
        <w:t xml:space="preserve">Identifier:</w:t>
      </w:r>
      <w:r>
        <w:t xml:space="preserve"> </w:t>
      </w:r>
      <w:r>
        <w:rPr>
          <w:rStyle w:val="VerbatimChar"/>
        </w:rPr>
        <w:t xml:space="preserve">gcor.corrections-dem</w:t>
      </w:r>
    </w:p>
    <w:p>
      <w:pPr>
        <w:pStyle w:val="Textkrper"/>
      </w:pPr>
      <w:r>
        <w:rPr>
          <w:b/>
          <w:bCs/>
        </w:rPr>
        <w:t xml:space="preserve">Usage: For products including land areas.</w:t>
      </w:r>
    </w:p>
    <w:bookmarkStart w:id="223" w:name="threshold-requirements-46"/>
    <w:p>
      <w:pPr>
        <w:pStyle w:val="berschrift5"/>
      </w:pPr>
      <w:r>
        <w:t xml:space="preserve">Threshold requirements:</w:t>
      </w:r>
    </w:p>
    <w:p>
      <w:pPr>
        <w:pStyle w:val="Compact"/>
        <w:numPr>
          <w:ilvl w:val="0"/>
          <w:numId w:val="1084"/>
        </w:numPr>
      </w:pPr>
      <w:r>
        <w:t xml:space="preserve">During ortho-rectification, the data provider shall use the same DEM that was used for the radiometric terrain flattening to ensure consistency of the data stack.</w:t>
      </w:r>
    </w:p>
    <w:p>
      <w:pPr>
        <w:pStyle w:val="Compact"/>
        <w:numPr>
          <w:ilvl w:val="0"/>
          <w:numId w:val="1084"/>
        </w:numPr>
      </w:pPr>
      <w:r>
        <w:t xml:space="preserve">Provide reference to Digital Elevation Model used for geometric terrain correction.</w:t>
      </w:r>
    </w:p>
    <w:p>
      <w:pPr>
        <w:pStyle w:val="Compact"/>
        <w:numPr>
          <w:ilvl w:val="0"/>
          <w:numId w:val="1084"/>
        </w:numPr>
      </w:pPr>
      <w:r>
        <w:t xml:space="preserve">Provide reference to Earth Gravitational Model (EGM) used for geometric correction.</w:t>
      </w:r>
    </w:p>
    <w:bookmarkEnd w:id="223"/>
    <w:bookmarkStart w:id="224" w:name="goal-requirements-46"/>
    <w:p>
      <w:pPr>
        <w:pStyle w:val="berschrift5"/>
      </w:pPr>
      <w:r>
        <w:t xml:space="preserve">Goal requirements:</w:t>
      </w:r>
    </w:p>
    <w:p>
      <w:pPr>
        <w:pStyle w:val="Compact"/>
        <w:numPr>
          <w:ilvl w:val="0"/>
          <w:numId w:val="1085"/>
        </w:numPr>
      </w:pPr>
      <w:r>
        <w:t xml:space="preserve">A DEM with comparable or better resolution to the resolution of the output CEOS-ARD product shall be used if available.</w:t>
      </w:r>
      <w:r>
        <w:t xml:space="preserve"> </w:t>
      </w:r>
      <w:r>
        <w:t xml:space="preserve">Else, the upsampled DEM is identified.</w:t>
      </w:r>
    </w:p>
    <w:p>
      <w:pPr>
        <w:pStyle w:val="Compact"/>
        <w:numPr>
          <w:ilvl w:val="0"/>
          <w:numId w:val="1085"/>
        </w:numPr>
      </w:pPr>
      <w:r>
        <w:t xml:space="preserve">Resampling method used for preparation of the DEM.</w:t>
      </w:r>
    </w:p>
    <w:p>
      <w:pPr>
        <w:pStyle w:val="Compact"/>
        <w:numPr>
          <w:ilvl w:val="0"/>
          <w:numId w:val="1085"/>
        </w:numPr>
      </w:pPr>
      <w:r>
        <w:t xml:space="preserve">Method used for resampling the EGM.</w:t>
      </w:r>
    </w:p>
    <w:bookmarkEnd w:id="224"/>
    <w:bookmarkStart w:id="225" w:name="assessment-46"/>
    <w:p>
      <w:pPr>
        <w:pStyle w:val="berschrift5"/>
      </w:pPr>
      <w:r>
        <w:t xml:space="preserve">Assessment:</w:t>
      </w:r>
    </w:p>
    <w:p>
      <w:pPr>
        <w:pStyle w:val="Compact"/>
        <w:numPr>
          <w:ilvl w:val="0"/>
          <w:numId w:val="1086"/>
        </w:numPr>
      </w:pPr>
      <w:r>
        <w:t xml:space="preserve">Threshold Self-Assessment:</w:t>
      </w:r>
    </w:p>
    <w:p>
      <w:pPr>
        <w:pStyle w:val="Compact"/>
        <w:numPr>
          <w:ilvl w:val="0"/>
          <w:numId w:val="1086"/>
        </w:numPr>
      </w:pPr>
      <w:r>
        <w:t xml:space="preserve">Goal Self-Assessment:</w:t>
      </w:r>
    </w:p>
    <w:p>
      <w:pPr>
        <w:pStyle w:val="Compact"/>
        <w:numPr>
          <w:ilvl w:val="0"/>
          <w:numId w:val="1086"/>
        </w:numPr>
      </w:pPr>
      <w:r>
        <w:t xml:space="preserve">Self-Assessment Explanation/ Justification:</w:t>
      </w:r>
    </w:p>
    <w:p>
      <w:pPr>
        <w:pStyle w:val="Compact"/>
        <w:numPr>
          <w:ilvl w:val="0"/>
          <w:numId w:val="1086"/>
        </w:numPr>
      </w:pPr>
      <w:r>
        <w:t xml:space="preserve">Recommended Requirement Modification:</w:t>
      </w:r>
    </w:p>
    <w:p>
      <w:r>
        <w:pict>
          <v:rect style="width:0;height:1.5pt" o:hralign="center" o:hrstd="t" o:hr="t"/>
        </w:pict>
      </w:r>
    </w:p>
    <w:bookmarkEnd w:id="225"/>
    <w:bookmarkEnd w:id="226"/>
    <w:bookmarkStart w:id="230" w:name="X46df8ce20020c0edaf0af6f0a3dbcb83bfe4482"/>
    <w:p>
      <w:pPr>
        <w:pStyle w:val="berschrift4"/>
      </w:pPr>
      <w:r>
        <w:rPr>
          <w:rStyle w:val="VerbatimChar"/>
        </w:rPr>
        <w:t xml:space="preserve">6.3.</w:t>
      </w:r>
      <w:r>
        <w:t xml:space="preserve"> </w:t>
      </w:r>
      <w:r>
        <w:t xml:space="preserve">Geometric Accuracy</w:t>
      </w:r>
    </w:p>
    <w:p>
      <w:pPr>
        <w:pStyle w:val="FirstParagraph"/>
      </w:pPr>
      <w:r>
        <w:t xml:space="preserve">Identifier:</w:t>
      </w:r>
      <w:r>
        <w:t xml:space="preserve"> </w:t>
      </w:r>
      <w:r>
        <w:rPr>
          <w:rStyle w:val="VerbatimChar"/>
        </w:rPr>
        <w:t xml:space="preserve">gcor.corrections-geometric-accuracy-radar</w:t>
      </w:r>
    </w:p>
    <w:bookmarkStart w:id="227" w:name="threshold-requirements-47"/>
    <w:p>
      <w:pPr>
        <w:pStyle w:val="berschrift5"/>
      </w:pPr>
      <w:r>
        <w:t xml:space="preserve">Threshold requirements:</w:t>
      </w:r>
    </w:p>
    <w:p>
      <w:pPr>
        <w:pStyle w:val="FirstParagraph"/>
      </w:pPr>
      <w:r>
        <w:t xml:space="preserve">Accurate geolocation is a prerequisite to radar processing to correct for terrain and to enable interoperability between radar sensors.</w:t>
      </w:r>
    </w:p>
    <w:p>
      <w:pPr>
        <w:pStyle w:val="Textkrper"/>
      </w:pPr>
      <w:r>
        <w:t xml:space="preserve">The absolute geolocation error (ALE) for a sensor is typically assessed through analysis of Single Look Complex (SLC) imagery and measured along the slant range and azimuth directions (case A: SLC ALE).</w:t>
      </w:r>
    </w:p>
    <w:p>
      <w:pPr>
        <w:pStyle w:val="Textkrper"/>
      </w:pPr>
      <w:r>
        <w:t xml:space="preserve">The end-to-end</w:t>
      </w:r>
      <w:r>
        <w:t xml:space="preserve"> </w:t>
      </w:r>
      <w:r>
        <w:t xml:space="preserve">“ARD”</w:t>
      </w:r>
      <w:r>
        <w:t xml:space="preserve"> </w:t>
      </w:r>
      <w:r>
        <w:t xml:space="preserve">ALE of the final CEOS-ARD product could be measured directly in the final image product in the chosen map projection, i.e., in the map coordinate directions: e.g., Northing and Easting (case B: ARD ALE).</w:t>
      </w:r>
    </w:p>
    <w:p>
      <w:pPr>
        <w:pStyle w:val="Textkrper"/>
      </w:pPr>
      <w:r>
        <w:t xml:space="preserve">Providing accuracy estimates based on measurements following at least one scheme (A or B or both) meets the threshold requirement.</w:t>
      </w:r>
    </w:p>
    <w:p>
      <w:pPr>
        <w:pStyle w:val="Textkrper"/>
      </w:pPr>
      <w:r>
        <w:t xml:space="preserve">Estimates of the ALE is provided as a bias and a standard deviation, with (Case A) SLC ALE expressed in slant range and azimuth, and (Case B) ARD ALE expressed in map projection dimensions.</w:t>
      </w:r>
    </w:p>
    <w:p>
      <w:pPr>
        <w:pStyle w:val="Textkrper"/>
      </w:pPr>
      <w:r>
        <w:t xml:space="preserve">Notes:</w:t>
      </w:r>
    </w:p>
    <w:p>
      <w:pPr>
        <w:pStyle w:val="Compact"/>
        <w:numPr>
          <w:ilvl w:val="0"/>
          <w:numId w:val="1087"/>
        </w:numPr>
      </w:pPr>
      <w:r>
        <w:t xml:space="preserve">This assessment is often made through comparison of measured corner reflector positions with their projected location in the imagery. In some cases, other mission calibration/validation results may be used.</w:t>
      </w:r>
    </w:p>
    <w:p>
      <w:pPr>
        <w:pStyle w:val="Compact"/>
        <w:numPr>
          <w:ilvl w:val="0"/>
          <w:numId w:val="1087"/>
        </w:numPr>
      </w:pPr>
      <w:r>
        <w:t xml:space="preserve">The ALE is not typically assessed for every processed image, but through an ALE assessment by the data processing team characterizing all or (usually a subset) of the generated products.</w:t>
      </w:r>
    </w:p>
    <w:bookmarkEnd w:id="227"/>
    <w:bookmarkStart w:id="228" w:name="goal-requirements-47"/>
    <w:p>
      <w:pPr>
        <w:pStyle w:val="berschrift5"/>
      </w:pPr>
      <w:r>
        <w:t xml:space="preserve">Goal requirements:</w:t>
      </w:r>
    </w:p>
    <w:p>
      <w:pPr>
        <w:pStyle w:val="FirstParagraph"/>
      </w:pPr>
      <w:r>
        <w:t xml:space="preserve">Output product sub-sample accuracy should be less than or equal to 0.1 (slant range) pixel radial root mean square error (rRMSE).</w:t>
      </w:r>
    </w:p>
    <w:p>
      <w:pPr>
        <w:pStyle w:val="Textkrper"/>
      </w:pPr>
      <w:r>
        <w:t xml:space="preserve">Provide documentation of estimates of ALE as DOI or URL.</w:t>
      </w:r>
    </w:p>
    <w:bookmarkEnd w:id="228"/>
    <w:bookmarkStart w:id="229" w:name="assessment-47"/>
    <w:p>
      <w:pPr>
        <w:pStyle w:val="berschrift5"/>
      </w:pPr>
      <w:r>
        <w:t xml:space="preserve">Assessment:</w:t>
      </w:r>
    </w:p>
    <w:p>
      <w:pPr>
        <w:pStyle w:val="Compact"/>
        <w:numPr>
          <w:ilvl w:val="0"/>
          <w:numId w:val="1088"/>
        </w:numPr>
      </w:pPr>
      <w:r>
        <w:t xml:space="preserve">Threshold Self-Assessment:</w:t>
      </w:r>
    </w:p>
    <w:p>
      <w:pPr>
        <w:pStyle w:val="Compact"/>
        <w:numPr>
          <w:ilvl w:val="0"/>
          <w:numId w:val="1088"/>
        </w:numPr>
      </w:pPr>
      <w:r>
        <w:t xml:space="preserve">Goal Self-Assessment:</w:t>
      </w:r>
    </w:p>
    <w:p>
      <w:pPr>
        <w:pStyle w:val="Compact"/>
        <w:numPr>
          <w:ilvl w:val="0"/>
          <w:numId w:val="1088"/>
        </w:numPr>
      </w:pPr>
      <w:r>
        <w:t xml:space="preserve">Self-Assessment Explanation/ Justification:</w:t>
      </w:r>
    </w:p>
    <w:p>
      <w:pPr>
        <w:pStyle w:val="Compact"/>
        <w:numPr>
          <w:ilvl w:val="0"/>
          <w:numId w:val="1088"/>
        </w:numPr>
      </w:pPr>
      <w:r>
        <w:t xml:space="preserve">Recommended Requirement Modification:</w:t>
      </w:r>
    </w:p>
    <w:p>
      <w:r>
        <w:pict>
          <v:rect style="width:0;height:1.5pt" o:hralign="center" o:hrstd="t" o:hr="t"/>
        </w:pict>
      </w:r>
    </w:p>
    <w:bookmarkEnd w:id="229"/>
    <w:bookmarkEnd w:id="230"/>
    <w:bookmarkStart w:id="234" w:name="Xb9d365b28d724b5a0f0e58b4c1a94a1d3251d14"/>
    <w:p>
      <w:pPr>
        <w:pStyle w:val="berschrift4"/>
      </w:pPr>
      <w:r>
        <w:rPr>
          <w:rStyle w:val="VerbatimChar"/>
        </w:rPr>
        <w:t xml:space="preserve">6.4.</w:t>
      </w:r>
      <w:r>
        <w:t xml:space="preserve"> </w:t>
      </w:r>
      <w:r>
        <w:t xml:space="preserve">Geometric Refined Accuracy</w:t>
      </w:r>
    </w:p>
    <w:p>
      <w:pPr>
        <w:pStyle w:val="FirstParagraph"/>
      </w:pPr>
      <w:r>
        <w:t xml:space="preserve">Identifier:</w:t>
      </w:r>
      <w:r>
        <w:t xml:space="preserve"> </w:t>
      </w:r>
      <w:r>
        <w:rPr>
          <w:rStyle w:val="VerbatimChar"/>
        </w:rPr>
        <w:t xml:space="preserve">gcor.corrections-geometric-refined-accuracy</w:t>
      </w:r>
    </w:p>
    <w:bookmarkStart w:id="231" w:name="threshold-requirements-48"/>
    <w:p>
      <w:pPr>
        <w:pStyle w:val="berschrift5"/>
      </w:pPr>
      <w:r>
        <w:t xml:space="preserve">Threshold requirements:</w:t>
      </w:r>
    </w:p>
    <w:p>
      <w:pPr>
        <w:pStyle w:val="FirstParagraph"/>
      </w:pPr>
      <w:r>
        <w:t xml:space="preserve">Not required.</w:t>
      </w:r>
      <w:r>
        <w:t xml:space="preserve"> </w:t>
      </w:r>
    </w:p>
    <w:bookmarkEnd w:id="231"/>
    <w:bookmarkStart w:id="232" w:name="goal-requirements-48"/>
    <w:p>
      <w:pPr>
        <w:pStyle w:val="berschrift5"/>
      </w:pPr>
      <w:r>
        <w:t xml:space="preserve">Goal requirements:</w:t>
      </w:r>
    </w:p>
    <w:p>
      <w:pPr>
        <w:pStyle w:val="FirstParagraph"/>
      </w:pPr>
      <w:r>
        <w:t xml:space="preserve">Values provided under Section </w:t>
      </w:r>
      <w:r>
        <w:t xml:space="preserve">“</w:t>
      </w:r>
      <w:hyperlink w:anchor="X46df8ce20020c0edaf0af6f0a3dbcb83bfe4482">
        <w:r>
          <w:rPr>
            <w:rStyle w:val="Hyperlink"/>
          </w:rPr>
          <w:t xml:space="preserve">Geometric Corrections: Geometric Accuracy</w:t>
        </w:r>
      </w:hyperlink>
      <w:r>
        <w:t xml:space="preserve">”</w:t>
      </w:r>
      <w:r>
        <w:t xml:space="preserve"> </w:t>
      </w:r>
      <w:r>
        <w:t xml:space="preserve">are provided by the SAR mission Cal/Val team.</w:t>
      </w:r>
    </w:p>
    <w:p>
      <w:pPr>
        <w:pStyle w:val="Textkrper"/>
      </w:pPr>
      <w:r>
        <w:t xml:space="preserve">CEOS-ARD processing steps could include method refining the geometric accuracy, such as cross-correlation of the SAR data in slant range with a SAR scene simulated from a DSM or DEM.</w:t>
      </w:r>
    </w:p>
    <w:p>
      <w:pPr>
        <w:pStyle w:val="Textkrper"/>
      </w:pPr>
      <w:r>
        <w:t xml:space="preserve">Methodology used (name and reference), quality flag, geometric standard deviation values should be provided.</w:t>
      </w:r>
    </w:p>
    <w:bookmarkEnd w:id="232"/>
    <w:bookmarkStart w:id="233" w:name="assessment-48"/>
    <w:p>
      <w:pPr>
        <w:pStyle w:val="berschrift5"/>
      </w:pPr>
      <w:r>
        <w:t xml:space="preserve">Assessment:</w:t>
      </w:r>
    </w:p>
    <w:p>
      <w:pPr>
        <w:pStyle w:val="Compact"/>
        <w:numPr>
          <w:ilvl w:val="0"/>
          <w:numId w:val="1089"/>
        </w:numPr>
      </w:pPr>
      <w:r>
        <w:t xml:space="preserve">Threshold Self-Assessment:</w:t>
      </w:r>
    </w:p>
    <w:p>
      <w:pPr>
        <w:pStyle w:val="Compact"/>
        <w:numPr>
          <w:ilvl w:val="0"/>
          <w:numId w:val="1089"/>
        </w:numPr>
      </w:pPr>
      <w:r>
        <w:t xml:space="preserve">Goal Self-Assessment:</w:t>
      </w:r>
    </w:p>
    <w:p>
      <w:pPr>
        <w:pStyle w:val="Compact"/>
        <w:numPr>
          <w:ilvl w:val="0"/>
          <w:numId w:val="1089"/>
        </w:numPr>
      </w:pPr>
      <w:r>
        <w:t xml:space="preserve">Self-Assessment Explanation/ Justification:</w:t>
      </w:r>
    </w:p>
    <w:p>
      <w:pPr>
        <w:pStyle w:val="Compact"/>
        <w:numPr>
          <w:ilvl w:val="0"/>
          <w:numId w:val="1089"/>
        </w:numPr>
      </w:pPr>
      <w:r>
        <w:t xml:space="preserve">Recommended Requirement Modification:</w:t>
      </w:r>
    </w:p>
    <w:p>
      <w:r>
        <w:pict>
          <v:rect style="width:0;height:1.5pt" o:hralign="center" o:hrstd="t" o:hr="t"/>
        </w:pict>
      </w:r>
    </w:p>
    <w:bookmarkEnd w:id="233"/>
    <w:bookmarkEnd w:id="234"/>
    <w:bookmarkStart w:id="238" w:name="sec:gcor.corrections-gridding-convention"/>
    <w:p>
      <w:pPr>
        <w:pStyle w:val="berschrift4"/>
      </w:pPr>
      <w:r>
        <w:rPr>
          <w:rStyle w:val="VerbatimChar"/>
        </w:rPr>
        <w:t xml:space="preserve">6.5.</w:t>
      </w:r>
      <w:r>
        <w:t xml:space="preserve"> </w:t>
      </w:r>
      <w:r>
        <w:t xml:space="preserve">Gridding Convention</w:t>
      </w:r>
    </w:p>
    <w:p>
      <w:pPr>
        <w:pStyle w:val="FirstParagraph"/>
      </w:pPr>
      <w:r>
        <w:t xml:space="preserve">Identifier:</w:t>
      </w:r>
      <w:r>
        <w:t xml:space="preserve"> </w:t>
      </w:r>
      <w:r>
        <w:rPr>
          <w:rStyle w:val="VerbatimChar"/>
        </w:rPr>
        <w:t xml:space="preserve">gcor.corrections-gridding-convention</w:t>
      </w:r>
    </w:p>
    <w:bookmarkStart w:id="235" w:name="threshold-requirements-49"/>
    <w:p>
      <w:pPr>
        <w:pStyle w:val="berschrift5"/>
      </w:pPr>
      <w:r>
        <w:t xml:space="preserve">Threshold requirements:</w:t>
      </w:r>
    </w:p>
    <w:p>
      <w:pPr>
        <w:pStyle w:val="FirstParagraph"/>
      </w:pPr>
      <w:r>
        <w:t xml:space="preserve">A consistent gridding/sampling frame is used. The origin is chosen to minimise any need for subsequent resampling between multiple products (be they from the same or different providers).</w:t>
      </w:r>
      <w:r>
        <w:t xml:space="preserve"> </w:t>
      </w:r>
      <w:r>
        <w:t xml:space="preserve">This is typically accomplished via a</w:t>
      </w:r>
      <w:r>
        <w:t xml:space="preserve"> </w:t>
      </w:r>
      <w:r>
        <w:t xml:space="preserve">“snap to grid”</w:t>
      </w:r>
      <w:r>
        <w:t xml:space="preserve"> </w:t>
      </w:r>
      <w:r>
        <w:t xml:space="preserve">in relation to the most proximate grid tile in a global system.</w:t>
      </w:r>
    </w:p>
    <w:p>
      <w:pPr>
        <w:pStyle w:val="Textkrper"/>
      </w:pPr>
      <w:r>
        <w:t xml:space="preserve">Notes:</w:t>
      </w:r>
    </w:p>
    <w:p>
      <w:pPr>
        <w:pStyle w:val="Compact"/>
        <w:numPr>
          <w:ilvl w:val="0"/>
          <w:numId w:val="1090"/>
        </w:numPr>
      </w:pPr>
      <w:r>
        <w:t xml:space="preserve">If a product hierarchy of resolutions exists (or is planned), the multiple resolutions should nest within each other (e.g., 12.5m, 25m, 50m, 100m, etc.), and not be disjoint.</w:t>
      </w:r>
    </w:p>
    <w:bookmarkEnd w:id="235"/>
    <w:bookmarkStart w:id="236" w:name="goal-requirements-49"/>
    <w:p>
      <w:pPr>
        <w:pStyle w:val="berschrift5"/>
      </w:pPr>
      <w:r>
        <w:t xml:space="preserve">Goal requirements:</w:t>
      </w:r>
    </w:p>
    <w:p>
      <w:pPr>
        <w:pStyle w:val="FirstParagraph"/>
      </w:pPr>
      <w:r>
        <w:t xml:space="preserve">Provide DOI or URL to gridding convention used.</w:t>
      </w:r>
    </w:p>
    <w:p>
      <w:pPr>
        <w:pStyle w:val="Textkrper"/>
      </w:pPr>
      <w:r>
        <w:t xml:space="preserve">When multiple providers share a common map projection, providers are encouraged to standardise the origins of their products among each other.</w:t>
      </w:r>
    </w:p>
    <w:p>
      <w:pPr>
        <w:pStyle w:val="Textkrper"/>
      </w:pPr>
      <w:r>
        <w:t xml:space="preserve">In the case of UTM/UPS coordinates, the upper left corner coordinates should be set to an integer multiple of sample intervals from a 100 km by 100 km grid tile of the Military Grid Reference System’s 100k coordinates (</w:t>
      </w:r>
      <w:r>
        <w:t xml:space="preserve">“snap to grid”</w:t>
      </w:r>
      <w:r>
        <w:t xml:space="preserve">).</w:t>
      </w:r>
    </w:p>
    <w:p>
      <w:pPr>
        <w:pStyle w:val="Textkrper"/>
      </w:pPr>
      <w:r>
        <w:t xml:space="preserve">For products presented in geographic coordinates (latitude and longitude), the origin should be set to an integer multiple of samples in relation to the closest integer degree.</w:t>
      </w:r>
    </w:p>
    <w:bookmarkEnd w:id="236"/>
    <w:bookmarkStart w:id="237" w:name="assessment-49"/>
    <w:p>
      <w:pPr>
        <w:pStyle w:val="berschrift5"/>
      </w:pPr>
      <w:r>
        <w:t xml:space="preserve">Assessment:</w:t>
      </w:r>
    </w:p>
    <w:p>
      <w:pPr>
        <w:pStyle w:val="Compact"/>
        <w:numPr>
          <w:ilvl w:val="0"/>
          <w:numId w:val="1091"/>
        </w:numPr>
      </w:pPr>
      <w:r>
        <w:t xml:space="preserve">Threshold Self-Assessment:</w:t>
      </w:r>
    </w:p>
    <w:p>
      <w:pPr>
        <w:pStyle w:val="Compact"/>
        <w:numPr>
          <w:ilvl w:val="0"/>
          <w:numId w:val="1091"/>
        </w:numPr>
      </w:pPr>
      <w:r>
        <w:t xml:space="preserve">Goal Self-Assessment:</w:t>
      </w:r>
    </w:p>
    <w:p>
      <w:pPr>
        <w:pStyle w:val="Compact"/>
        <w:numPr>
          <w:ilvl w:val="0"/>
          <w:numId w:val="1091"/>
        </w:numPr>
      </w:pPr>
      <w:r>
        <w:t xml:space="preserve">Self-Assessment Explanation/ Justification:</w:t>
      </w:r>
    </w:p>
    <w:p>
      <w:pPr>
        <w:pStyle w:val="Compact"/>
        <w:numPr>
          <w:ilvl w:val="0"/>
          <w:numId w:val="1091"/>
        </w:numPr>
      </w:pPr>
      <w:r>
        <w:t xml:space="preserve">Recommended Requirement Modification:</w:t>
      </w:r>
    </w:p>
    <w:p>
      <w:r>
        <w:br w:type="page"/>
      </w:r>
    </w:p>
    <w:bookmarkEnd w:id="237"/>
    <w:bookmarkEnd w:id="238"/>
    <w:bookmarkEnd w:id="239"/>
    <w:bookmarkEnd w:id="240"/>
    <w:bookmarkStart w:id="247" w:name="summary-self-assessment-table"/>
    <w:p>
      <w:pPr>
        <w:pStyle w:val="berschrift2"/>
      </w:pPr>
      <w:r>
        <w:t xml:space="preserve">Summary Self-Assessment Table</w:t>
      </w:r>
    </w:p>
    <w:bookmarkStart w:id="241"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meta.metadata-traceability-sar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meta.metadata-product-type-sar</w:t>
            </w:r>
          </w:p>
        </w:tc>
        <w:tc>
          <w:tcPr/>
          <w:p>
            <w:pPr>
              <w:pStyle w:val="Compact"/>
            </w:pPr>
            <w:r>
              <w:t xml:space="preserve">Product Type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meta.metadata-pfs-url</w:t>
            </w:r>
          </w:p>
        </w:tc>
        <w:tc>
          <w:tcPr/>
          <w:p>
            <w:pPr>
              <w:pStyle w:val="Compact"/>
            </w:pPr>
            <w:r>
              <w:t xml:space="preserve">Document Identifier</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meta.metadata-time</w:t>
            </w:r>
          </w:p>
        </w:tc>
        <w:tc>
          <w:tcPr/>
          <w:p>
            <w:pPr>
              <w:pStyle w:val="Compact"/>
            </w:pPr>
            <w:r>
              <w:t xml:space="preserve">Data Collection Time</w:t>
            </w:r>
          </w:p>
        </w:tc>
        <w:tc>
          <w:tcPr/>
          <w:p>
            <w:pPr>
              <w:pStyle w:val="Compact"/>
            </w:pPr>
          </w:p>
        </w:tc>
        <w:tc>
          <w:tcPr/>
          <w:p>
            <w:pPr>
              <w:pStyle w:val="Compact"/>
              <w:jc w:val="center"/>
            </w:pPr>
            <w:r>
              <w:rPr>
                <w:i/>
                <w:iCs/>
              </w:rPr>
              <w:t xml:space="preserve">as threshold</w:t>
            </w:r>
          </w:p>
        </w:tc>
      </w:tr>
    </w:tbl>
    <w:bookmarkEnd w:id="241"/>
    <w:bookmarkStart w:id="242" w:name="source-metadata"/>
    <w:p>
      <w:pPr>
        <w:pStyle w:val="berschrift3"/>
      </w:pPr>
      <w:r>
        <w:t xml:space="preserve">Source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src.metadata-acquisition-id</w:t>
            </w:r>
          </w:p>
        </w:tc>
        <w:tc>
          <w:tcPr/>
          <w:p>
            <w:pPr>
              <w:pStyle w:val="Compact"/>
            </w:pPr>
            <w:r>
              <w:t xml:space="preserve">Acquisition ID</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src.metadata-data-access-source</w:t>
            </w:r>
          </w:p>
        </w:tc>
        <w:tc>
          <w:tcPr/>
          <w:p>
            <w:pPr>
              <w:pStyle w:val="Compact"/>
            </w:pPr>
            <w:r>
              <w:t xml:space="preserve">Source Data Access</w:t>
            </w:r>
          </w:p>
        </w:tc>
        <w:tc>
          <w:tcPr/>
          <w:p>
            <w:pPr>
              <w:pStyle w:val="Compact"/>
            </w:pPr>
          </w:p>
        </w:tc>
        <w:tc>
          <w:tcPr/>
          <w:p>
            <w:pPr>
              <w:pStyle w:val="Compact"/>
            </w:pPr>
          </w:p>
        </w:tc>
      </w:tr>
      <w:tr>
        <w:tc>
          <w:tcPr/>
          <w:p>
            <w:pPr>
              <w:pStyle w:val="Compact"/>
            </w:pPr>
            <w:r>
              <w:rPr>
                <w:rStyle w:val="VerbatimChar"/>
              </w:rPr>
              <w:t xml:space="preserve">src.metadata-instrument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src.metadata-time-source</w:t>
            </w:r>
          </w:p>
        </w:tc>
        <w:tc>
          <w:tcPr/>
          <w:p>
            <w:pPr>
              <w:pStyle w:val="Compact"/>
            </w:pPr>
            <w:r>
              <w:t xml:space="preserve">Source Data Acquisition Time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src.metadata-acquisition-parameters-sar</w:t>
            </w:r>
          </w:p>
        </w:tc>
        <w:tc>
          <w:tcPr/>
          <w:p>
            <w:pPr>
              <w:pStyle w:val="Compact"/>
            </w:pPr>
            <w:r>
              <w:t xml:space="preserve">Source Data Acquisition Parameters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src.metadata-orbit</w:t>
            </w:r>
          </w:p>
        </w:tc>
        <w:tc>
          <w:tcPr/>
          <w:p>
            <w:pPr>
              <w:pStyle w:val="Compact"/>
            </w:pPr>
            <w:r>
              <w:t xml:space="preserve">Source Data Orbit Information</w:t>
            </w:r>
          </w:p>
        </w:tc>
        <w:tc>
          <w:tcPr/>
          <w:p>
            <w:pPr>
              <w:pStyle w:val="Compact"/>
            </w:pPr>
          </w:p>
        </w:tc>
        <w:tc>
          <w:tcPr/>
          <w:p>
            <w:pPr>
              <w:pStyle w:val="Compact"/>
            </w:pPr>
          </w:p>
        </w:tc>
      </w:tr>
      <w:tr>
        <w:tc>
          <w:tcPr/>
          <w:p>
            <w:pPr>
              <w:pStyle w:val="Compact"/>
            </w:pPr>
            <w:r>
              <w:rPr>
                <w:rStyle w:val="VerbatimChar"/>
              </w:rPr>
              <w:t xml:space="preserve">src.metadata-processing-parameters</w:t>
            </w:r>
          </w:p>
        </w:tc>
        <w:tc>
          <w:tcPr/>
          <w:p>
            <w:pPr>
              <w:pStyle w:val="Compact"/>
            </w:pPr>
            <w:r>
              <w:t xml:space="preserve">Source Data Processing Parameters</w:t>
            </w:r>
          </w:p>
        </w:tc>
        <w:tc>
          <w:tcPr/>
          <w:p>
            <w:pPr>
              <w:pStyle w:val="Compact"/>
            </w:pPr>
          </w:p>
        </w:tc>
        <w:tc>
          <w:tcPr/>
          <w:p>
            <w:pPr>
              <w:pStyle w:val="Compact"/>
            </w:pPr>
          </w:p>
        </w:tc>
      </w:tr>
      <w:tr>
        <w:tc>
          <w:tcPr/>
          <w:p>
            <w:pPr>
              <w:pStyle w:val="Compact"/>
            </w:pPr>
            <w:r>
              <w:rPr>
                <w:rStyle w:val="VerbatimChar"/>
              </w:rPr>
              <w:t xml:space="preserve">src.metadata-image-attributes-sar</w:t>
            </w:r>
          </w:p>
        </w:tc>
        <w:tc>
          <w:tcPr/>
          <w:p>
            <w:pPr>
              <w:pStyle w:val="Compact"/>
            </w:pPr>
            <w:r>
              <w:t xml:space="preserve">Source Data Image Attributes</w:t>
            </w:r>
          </w:p>
        </w:tc>
        <w:tc>
          <w:tcPr/>
          <w:p>
            <w:pPr>
              <w:pStyle w:val="Compact"/>
            </w:pPr>
          </w:p>
        </w:tc>
        <w:tc>
          <w:tcPr/>
          <w:p>
            <w:pPr>
              <w:pStyle w:val="Compact"/>
            </w:pPr>
          </w:p>
        </w:tc>
      </w:tr>
      <w:tr>
        <w:tc>
          <w:tcPr/>
          <w:p>
            <w:pPr>
              <w:pStyle w:val="Compact"/>
            </w:pPr>
            <w:r>
              <w:rPr>
                <w:rStyle w:val="VerbatimChar"/>
              </w:rPr>
              <w:t xml:space="preserve">src.metadata-sensor-calibration</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src.metadata-performance-indicators</w:t>
            </w:r>
          </w:p>
        </w:tc>
        <w:tc>
          <w:tcPr/>
          <w:p>
            <w:pPr>
              <w:pStyle w:val="Compact"/>
            </w:pPr>
            <w:r>
              <w:t xml:space="preserve">Performance Indicators</w:t>
            </w:r>
          </w:p>
        </w:tc>
        <w:tc>
          <w:tcPr/>
          <w:p>
            <w:pPr>
              <w:pStyle w:val="Compact"/>
            </w:pPr>
          </w:p>
        </w:tc>
        <w:tc>
          <w:tcPr/>
          <w:p>
            <w:pPr>
              <w:pStyle w:val="Compact"/>
            </w:pPr>
          </w:p>
        </w:tc>
      </w:tr>
      <w:tr>
        <w:tc>
          <w:tcPr/>
          <w:p>
            <w:pPr>
              <w:pStyle w:val="Compact"/>
            </w:pPr>
            <w:r>
              <w:rPr>
                <w:rStyle w:val="VerbatimChar"/>
              </w:rPr>
              <w:t xml:space="preserve">src.metadata-polarimetric-calibration-matrices</w:t>
            </w:r>
          </w:p>
        </w:tc>
        <w:tc>
          <w:tcPr/>
          <w:p>
            <w:pPr>
              <w:pStyle w:val="Compact"/>
            </w:pPr>
            <w:r>
              <w:t xml:space="preserve">Polarimetric Calibration Matrices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src.metadata-mean-faraday-rotation-angle</w:t>
            </w:r>
          </w:p>
        </w:tc>
        <w:tc>
          <w:tcPr/>
          <w:p>
            <w:pPr>
              <w:pStyle w:val="Compact"/>
            </w:pPr>
            <w:r>
              <w:t xml:space="preserve">Mean Faraday Rotation Angle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src.metadata-ionosphere-indicator</w:t>
            </w:r>
          </w:p>
        </w:tc>
        <w:tc>
          <w:tcPr/>
          <w:p>
            <w:pPr>
              <w:pStyle w:val="Compact"/>
            </w:pPr>
            <w:r>
              <w:t xml:space="preserve">Ionosphere Indicator</w:t>
            </w:r>
          </w:p>
        </w:tc>
        <w:tc>
          <w:tcPr/>
          <w:p>
            <w:pPr>
              <w:pStyle w:val="Compact"/>
              <w:jc w:val="center"/>
            </w:pPr>
            <w:r>
              <w:rPr>
                <w:i/>
                <w:iCs/>
              </w:rPr>
              <w:t xml:space="preserve">not required</w:t>
            </w:r>
          </w:p>
        </w:tc>
        <w:tc>
          <w:tcPr/>
          <w:p>
            <w:pPr>
              <w:pStyle w:val="Compact"/>
            </w:pPr>
          </w:p>
        </w:tc>
      </w:tr>
    </w:tbl>
    <w:bookmarkEnd w:id="242"/>
    <w:bookmarkStart w:id="243" w:name="product-metadata"/>
    <w:p>
      <w:pPr>
        <w:pStyle w:val="berschrift3"/>
      </w:pPr>
      <w:r>
        <w:t xml:space="preserve">Product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prd.metadata-data-access-product</w:t>
            </w:r>
          </w:p>
        </w:tc>
        <w:tc>
          <w:tcPr/>
          <w:p>
            <w:pPr>
              <w:pStyle w:val="Compact"/>
            </w:pPr>
            <w:r>
              <w:t xml:space="preserve">Product Data Access</w:t>
            </w:r>
          </w:p>
        </w:tc>
        <w:tc>
          <w:tcPr/>
          <w:p>
            <w:pPr>
              <w:pStyle w:val="Compact"/>
            </w:pPr>
          </w:p>
        </w:tc>
        <w:tc>
          <w:tcPr/>
          <w:p>
            <w:pPr>
              <w:pStyle w:val="Compact"/>
            </w:pPr>
          </w:p>
        </w:tc>
      </w:tr>
      <w:tr>
        <w:tc>
          <w:tcPr/>
          <w:p>
            <w:pPr>
              <w:pStyle w:val="Compact"/>
            </w:pPr>
            <w:r>
              <w:rPr>
                <w:rStyle w:val="VerbatimChar"/>
              </w:rPr>
              <w:t xml:space="preserve">prd.metadata-auxiliary-data</w:t>
            </w:r>
          </w:p>
        </w:tc>
        <w:tc>
          <w:tcPr/>
          <w:p>
            <w:pPr>
              <w:pStyle w:val="Compact"/>
            </w:pPr>
            <w:r>
              <w:t xml:space="preserve">Auxiliary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prd.metadata-sample-spacing</w:t>
            </w:r>
          </w:p>
        </w:tc>
        <w:tc>
          <w:tcPr/>
          <w:p>
            <w:pPr>
              <w:pStyle w:val="Compact"/>
            </w:pPr>
            <w:r>
              <w:t xml:space="preserve">Product Sample Spacing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prd.metadata-enl</w:t>
            </w:r>
          </w:p>
        </w:tc>
        <w:tc>
          <w:tcPr/>
          <w:p>
            <w:pPr>
              <w:pStyle w:val="Compact"/>
            </w:pPr>
            <w:r>
              <w:t xml:space="preserve">Product Equivalent Number of Looks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prd.metadata-resolution</w:t>
            </w:r>
          </w:p>
        </w:tc>
        <w:tc>
          <w:tcPr/>
          <w:p>
            <w:pPr>
              <w:pStyle w:val="Compact"/>
            </w:pPr>
            <w:r>
              <w:t xml:space="preserve">Product Resolution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prd.metadata-speckle-filtering-pol</w:t>
            </w:r>
          </w:p>
        </w:tc>
        <w:tc>
          <w:tcPr/>
          <w:p>
            <w:pPr>
              <w:pStyle w:val="Compact"/>
            </w:pPr>
            <w:r>
              <w:t xml:space="preserve">Product Filtering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prd.metadata-geo-bbox</w:t>
            </w:r>
          </w:p>
        </w:tc>
        <w:tc>
          <w:tcPr/>
          <w:p>
            <w:pPr>
              <w:pStyle w:val="Compact"/>
            </w:pPr>
            <w:r>
              <w:t xml:space="preserve">Product Bounding Box</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prd.metadata-geo-area</w:t>
            </w:r>
          </w:p>
        </w:tc>
        <w:tc>
          <w:tcPr/>
          <w:p>
            <w:pPr>
              <w:pStyle w:val="Compact"/>
            </w:pPr>
            <w:r>
              <w:t xml:space="preserve">Product Geographical Extent</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prd.metadata-image-size</w:t>
            </w:r>
          </w:p>
        </w:tc>
        <w:tc>
          <w:tcPr/>
          <w:p>
            <w:pPr>
              <w:pStyle w:val="Compact"/>
            </w:pPr>
            <w:r>
              <w:t xml:space="preserve">Product Image Size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prd.metadata-pixel-coordinate-convention</w:t>
            </w:r>
          </w:p>
        </w:tc>
        <w:tc>
          <w:tcPr/>
          <w:p>
            <w:pPr>
              <w:pStyle w:val="Compact"/>
            </w:pPr>
            <w:r>
              <w:t xml:space="preserve">Product Pixel Coordinate Convention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prd.metadata-crs</w:t>
            </w:r>
          </w:p>
        </w:tc>
        <w:tc>
          <w:tcPr/>
          <w:p>
            <w:pPr>
              <w:pStyle w:val="Compact"/>
            </w:pPr>
            <w:r>
              <w:t xml:space="preserve">Product 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prd.metadata-orbit-reference-nrb-pol</w:t>
            </w:r>
          </w:p>
        </w:tc>
        <w:tc>
          <w:tcPr/>
          <w:p>
            <w:pPr>
              <w:pStyle w:val="Compact"/>
            </w:pPr>
            <w:r>
              <w:t xml:space="preserve">Reference Orbit</w:t>
            </w:r>
          </w:p>
        </w:tc>
        <w:tc>
          <w:tcPr/>
          <w:p>
            <w:pPr>
              <w:pStyle w:val="Compact"/>
              <w:jc w:val="center"/>
            </w:pPr>
            <w:r>
              <w:rPr>
                <w:i/>
                <w:iCs/>
              </w:rPr>
              <w:t xml:space="preserve">not required</w:t>
            </w:r>
          </w:p>
        </w:tc>
        <w:tc>
          <w:tcPr/>
          <w:p>
            <w:pPr>
              <w:pStyle w:val="Compact"/>
            </w:pPr>
          </w:p>
        </w:tc>
      </w:tr>
    </w:tbl>
    <w:bookmarkEnd w:id="243"/>
    <w:bookmarkStart w:id="244"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pxl.per-pixel-data-mask</w:t>
            </w:r>
          </w:p>
        </w:tc>
        <w:tc>
          <w:tcPr/>
          <w:p>
            <w:pPr>
              <w:pStyle w:val="Compact"/>
            </w:pPr>
            <w:r>
              <w:t xml:space="preserve">Data Mask Image</w:t>
            </w:r>
          </w:p>
        </w:tc>
        <w:tc>
          <w:tcPr/>
          <w:p>
            <w:pPr>
              <w:pStyle w:val="Compact"/>
            </w:pPr>
          </w:p>
        </w:tc>
        <w:tc>
          <w:tcPr/>
          <w:p>
            <w:pPr>
              <w:pStyle w:val="Compact"/>
            </w:pPr>
          </w:p>
        </w:tc>
      </w:tr>
      <w:tr>
        <w:tc>
          <w:tcPr/>
          <w:p>
            <w:pPr>
              <w:pStyle w:val="Compact"/>
            </w:pPr>
            <w:r>
              <w:rPr>
                <w:rStyle w:val="VerbatimChar"/>
              </w:rPr>
              <w:t xml:space="preserve">pxl.per-pixel-scattering-area</w:t>
            </w:r>
          </w:p>
        </w:tc>
        <w:tc>
          <w:tcPr/>
          <w:p>
            <w:pPr>
              <w:pStyle w:val="Compact"/>
            </w:pPr>
            <w:r>
              <w:t xml:space="preserve">Scattering Area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pxl.per-pixel-local-incident-angle</w:t>
            </w:r>
          </w:p>
        </w:tc>
        <w:tc>
          <w:tcPr/>
          <w:p>
            <w:pPr>
              <w:pStyle w:val="Compact"/>
            </w:pPr>
            <w:r>
              <w:t xml:space="preserve">Local Incident Angle Image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pxl.per-pixel-ellipsoidal-incident-angle</w:t>
            </w:r>
          </w:p>
        </w:tc>
        <w:tc>
          <w:tcPr/>
          <w:p>
            <w:pPr>
              <w:pStyle w:val="Compact"/>
            </w:pPr>
            <w:r>
              <w:t xml:space="preserve">Ellipsoidal Incident Angle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pxl.per-pixel-noise-power</w:t>
            </w:r>
          </w:p>
        </w:tc>
        <w:tc>
          <w:tcPr/>
          <w:p>
            <w:pPr>
              <w:pStyle w:val="Compact"/>
            </w:pPr>
            <w:r>
              <w:t xml:space="preserve">Noise Power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pxl.per-pixel-gamma-sigma-ratio</w:t>
            </w:r>
          </w:p>
        </w:tc>
        <w:tc>
          <w:tcPr/>
          <w:p>
            <w:pPr>
              <w:pStyle w:val="Compact"/>
            </w:pPr>
            <w:r>
              <w:t xml:space="preserve">Gamma-to-Sigma Ratio Image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pxl.per-pixel-acquisition-id</w:t>
            </w:r>
          </w:p>
        </w:tc>
        <w:tc>
          <w:tcPr/>
          <w:p>
            <w:pPr>
              <w:pStyle w:val="Compact"/>
            </w:pPr>
            <w:r>
              <w:t xml:space="preserve">Acquisition ID Image</w:t>
            </w:r>
          </w:p>
        </w:tc>
        <w:tc>
          <w:tcPr/>
          <w:p>
            <w:pPr>
              <w:pStyle w:val="Compact"/>
            </w:pPr>
          </w:p>
        </w:tc>
        <w:tc>
          <w:tcPr/>
          <w:p>
            <w:pPr>
              <w:pStyle w:val="Compact"/>
            </w:pPr>
          </w:p>
        </w:tc>
      </w:tr>
      <w:tr>
        <w:tc>
          <w:tcPr/>
          <w:p>
            <w:pPr>
              <w:pStyle w:val="Compact"/>
            </w:pPr>
            <w:r>
              <w:rPr>
                <w:rStyle w:val="VerbatimChar"/>
              </w:rPr>
              <w:t xml:space="preserve">pxl.per-pixel-dem</w:t>
            </w:r>
          </w:p>
        </w:tc>
        <w:tc>
          <w:tcPr/>
          <w:p>
            <w:pPr>
              <w:pStyle w:val="Compact"/>
            </w:pPr>
            <w:r>
              <w:t xml:space="preserve">Per-Pixel DEM</w:t>
            </w:r>
          </w:p>
        </w:tc>
        <w:tc>
          <w:tcPr/>
          <w:p>
            <w:pPr>
              <w:pStyle w:val="Compact"/>
              <w:jc w:val="center"/>
            </w:pPr>
            <w:r>
              <w:rPr>
                <w:i/>
                <w:iCs/>
              </w:rPr>
              <w:t xml:space="preserve">not required</w:t>
            </w:r>
          </w:p>
        </w:tc>
        <w:tc>
          <w:tcPr/>
          <w:p>
            <w:pPr>
              <w:pStyle w:val="Compact"/>
            </w:pPr>
          </w:p>
        </w:tc>
      </w:tr>
    </w:tbl>
    <w:bookmarkEnd w:id="244"/>
    <w:bookmarkStart w:id="245" w:name="radiometrically-corrected-measurements"/>
    <w:p>
      <w:pPr>
        <w:pStyle w:val="berschrift3"/>
      </w:pPr>
      <w:r>
        <w:t xml:space="preserve">Radiometrically Corrected Measurements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rcm.measurements-backscatter-pol</w:t>
            </w:r>
          </w:p>
        </w:tc>
        <w:tc>
          <w:tcPr/>
          <w:p>
            <w:pPr>
              <w:pStyle w:val="Compact"/>
            </w:pPr>
            <w:r>
              <w:t xml:space="preserve">Backscatter Measurements (POL)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rcm.metadata-scaling-conversion</w:t>
            </w:r>
          </w:p>
        </w:tc>
        <w:tc>
          <w:tcPr/>
          <w:p>
            <w:pPr>
              <w:pStyle w:val="Compact"/>
            </w:pPr>
            <w:r>
              <w:t xml:space="preserve">Scaling Conversion</w:t>
            </w:r>
          </w:p>
        </w:tc>
        <w:tc>
          <w:tcPr/>
          <w:p>
            <w:pPr>
              <w:pStyle w:val="Compact"/>
            </w:pPr>
          </w:p>
        </w:tc>
        <w:tc>
          <w:tcPr/>
          <w:p>
            <w:pPr>
              <w:pStyle w:val="Compact"/>
            </w:pPr>
          </w:p>
        </w:tc>
      </w:tr>
      <w:tr>
        <w:tc>
          <w:tcPr/>
          <w:p>
            <w:pPr>
              <w:pStyle w:val="Compact"/>
            </w:pPr>
            <w:r>
              <w:rPr>
                <w:rStyle w:val="VerbatimChar"/>
              </w:rPr>
              <w:t xml:space="preserve">rcm.metadata-noise-removal</w:t>
            </w:r>
          </w:p>
        </w:tc>
        <w:tc>
          <w:tcPr/>
          <w:p>
            <w:pPr>
              <w:pStyle w:val="Compact"/>
            </w:pPr>
            <w:r>
              <w:t xml:space="preserve">Noise Removal</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rcm.corrections-radiometric-terrain-algo</w:t>
            </w:r>
          </w:p>
        </w:tc>
        <w:tc>
          <w:tcPr/>
          <w:p>
            <w:pPr>
              <w:pStyle w:val="Compact"/>
            </w:pPr>
            <w:r>
              <w:t xml:space="preserve">Radiometric Terrain Correction Algorithm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rcm.metadata-radiometric-accuracy</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rcm.measurements-flattened-phase</w:t>
            </w:r>
          </w:p>
        </w:tc>
        <w:tc>
          <w:tcPr/>
          <w:p>
            <w:pPr>
              <w:pStyle w:val="Compact"/>
            </w:pPr>
            <w:r>
              <w:t xml:space="preserve">Flattened Phase</w:t>
            </w:r>
          </w:p>
        </w:tc>
        <w:tc>
          <w:tcPr/>
          <w:p>
            <w:pPr>
              <w:pStyle w:val="Compact"/>
              <w:jc w:val="center"/>
            </w:pPr>
            <w:r>
              <w:rPr>
                <w:i/>
                <w:iCs/>
              </w:rPr>
              <w:t xml:space="preserve">not required</w:t>
            </w:r>
          </w:p>
        </w:tc>
        <w:tc>
          <w:tcPr/>
          <w:p>
            <w:pPr>
              <w:pStyle w:val="Compact"/>
            </w:pPr>
          </w:p>
        </w:tc>
      </w:tr>
    </w:tbl>
    <w:bookmarkEnd w:id="245"/>
    <w:bookmarkStart w:id="246" w:name="geometric-corrections"/>
    <w:p>
      <w:pPr>
        <w:pStyle w:val="berschrift3"/>
      </w:pPr>
      <w:r>
        <w:t xml:space="preserve">Geometric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gcor.metadata-geometric-correction-algorithm</w:t>
            </w:r>
          </w:p>
        </w:tc>
        <w:tc>
          <w:tcPr/>
          <w:p>
            <w:pPr>
              <w:pStyle w:val="Compact"/>
            </w:pPr>
            <w:r>
              <w:t xml:space="preserve">Geometric Correction Algorithm</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gcor.corrections-dem</w:t>
            </w:r>
          </w:p>
        </w:tc>
        <w:tc>
          <w:tcPr/>
          <w:p>
            <w:pPr>
              <w:pStyle w:val="Compact"/>
            </w:pPr>
            <w:r>
              <w:t xml:space="preserve">Digital Elevation Model</w:t>
            </w:r>
          </w:p>
        </w:tc>
        <w:tc>
          <w:tcPr/>
          <w:p>
            <w:pPr>
              <w:pStyle w:val="Compact"/>
            </w:pPr>
          </w:p>
        </w:tc>
        <w:tc>
          <w:tcPr/>
          <w:p>
            <w:pPr>
              <w:pStyle w:val="Compact"/>
            </w:pPr>
          </w:p>
        </w:tc>
      </w:tr>
      <w:tr>
        <w:tc>
          <w:tcPr/>
          <w:p>
            <w:pPr>
              <w:pStyle w:val="Compact"/>
            </w:pPr>
            <w:r>
              <w:rPr>
                <w:rStyle w:val="VerbatimChar"/>
              </w:rPr>
              <w:t xml:space="preserve">gcor.corrections-geometric-accuracy-radar</w:t>
            </w:r>
          </w:p>
        </w:tc>
        <w:tc>
          <w:tcPr/>
          <w:p>
            <w:pPr>
              <w:pStyle w:val="Compact"/>
            </w:pPr>
            <w:r>
              <w:t xml:space="preserve">Geometric Accuracy</w:t>
            </w:r>
          </w:p>
        </w:tc>
        <w:tc>
          <w:tcPr/>
          <w:p>
            <w:pPr>
              <w:pStyle w:val="Compact"/>
            </w:pPr>
          </w:p>
        </w:tc>
        <w:tc>
          <w:tcPr/>
          <w:p>
            <w:pPr>
              <w:pStyle w:val="Compact"/>
            </w:pPr>
          </w:p>
        </w:tc>
      </w:tr>
      <w:tr>
        <w:tc>
          <w:tcPr/>
          <w:p>
            <w:pPr>
              <w:pStyle w:val="Compact"/>
            </w:pPr>
            <w:r>
              <w:rPr>
                <w:rStyle w:val="VerbatimChar"/>
              </w:rPr>
              <w:t xml:space="preserve">gcor.corrections-geometric-refined-accuracy</w:t>
            </w:r>
          </w:p>
        </w:tc>
        <w:tc>
          <w:tcPr/>
          <w:p>
            <w:pPr>
              <w:pStyle w:val="Compact"/>
            </w:pPr>
            <w:r>
              <w:t xml:space="preserve">Geometric Refined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gcor.corrections-gridding-convention</w:t>
            </w:r>
          </w:p>
        </w:tc>
        <w:tc>
          <w:tcPr/>
          <w:p>
            <w:pPr>
              <w:pStyle w:val="Compact"/>
            </w:pPr>
            <w:r>
              <w:t xml:space="preserve">Gridding Convention</w:t>
            </w:r>
          </w:p>
        </w:tc>
        <w:tc>
          <w:tcPr/>
          <w:p>
            <w:pPr>
              <w:pStyle w:val="Compact"/>
            </w:pPr>
          </w:p>
        </w:tc>
        <w:tc>
          <w:tcPr/>
          <w:p>
            <w:pPr>
              <w:pStyle w:val="Compact"/>
            </w:pPr>
          </w:p>
        </w:tc>
      </w:tr>
    </w:tbl>
    <w:p>
      <w:r>
        <w:br w:type="page"/>
      </w:r>
    </w:p>
    <w:bookmarkEnd w:id="246"/>
    <w:bookmarkEnd w:id="247"/>
    <w:bookmarkStart w:id="252"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248"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248"/>
    <w:bookmarkStart w:id="250"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92"/>
        </w:numPr>
      </w:pPr>
      <w:r>
        <w:t xml:space="preserve">that product has been assessed as meeting CEOS-ARD requirements by the agency responsible for production and distribution of the product, and</w:t>
      </w:r>
    </w:p>
    <w:p>
      <w:pPr>
        <w:pStyle w:val="Compact"/>
        <w:numPr>
          <w:ilvl w:val="0"/>
          <w:numId w:val="1092"/>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249">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250"/>
    <w:bookmarkStart w:id="251"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51"/>
    <w:bookmarkEnd w:id="252"/>
    <w:bookmarkStart w:id="280" w:name="references"/>
    <w:p>
      <w:pPr>
        <w:pStyle w:val="berschrift2"/>
      </w:pPr>
      <w:r>
        <w:t xml:space="preserve">References</w:t>
      </w:r>
    </w:p>
    <w:bookmarkStart w:id="279" w:name="refs"/>
    <w:bookmarkStart w:id="254" w:name="ref-cameron1996"/>
    <w:p>
      <w:pPr>
        <w:pStyle w:val="Literaturverzeichnis"/>
      </w:pPr>
      <w:r>
        <w:t xml:space="preserve">Cameron, W. L., N. N. Youssef, and L. K. Leung. 1996.</w:t>
      </w:r>
      <w:r>
        <w:t xml:space="preserve"> </w:t>
      </w:r>
      <w:r>
        <w:t xml:space="preserve">“Simulated Polarimetric Signatures of Primitive Geometrical Shapes.”</w:t>
      </w:r>
      <w:r>
        <w:t xml:space="preserve"> </w:t>
      </w:r>
      <w:r>
        <w:rPr>
          <w:i/>
          <w:iCs/>
        </w:rPr>
        <w:t xml:space="preserve">IEEE Transactions on Geoscience and Remote Sensing</w:t>
      </w:r>
      <w:r>
        <w:t xml:space="preserve"> </w:t>
      </w:r>
      <w:r>
        <w:t xml:space="preserve">34 (3): 793–803.</w:t>
      </w:r>
      <w:r>
        <w:t xml:space="preserve"> </w:t>
      </w:r>
      <w:hyperlink r:id="rId253">
        <w:r>
          <w:rPr>
            <w:rStyle w:val="Hyperlink"/>
          </w:rPr>
          <w:t xml:space="preserve">https://doi.org/10.1109/36.499784</w:t>
        </w:r>
      </w:hyperlink>
      <w:r>
        <w:t xml:space="preserve">.</w:t>
      </w:r>
    </w:p>
    <w:bookmarkEnd w:id="254"/>
    <w:bookmarkStart w:id="256" w:name="ref-cloude1996"/>
    <w:p>
      <w:pPr>
        <w:pStyle w:val="Literaturverzeichnis"/>
      </w:pPr>
      <w:r>
        <w:t xml:space="preserve">Cloude, S. R., and E. Pottier. 1996.</w:t>
      </w:r>
      <w:r>
        <w:t xml:space="preserve"> </w:t>
      </w:r>
      <w:r>
        <w:t xml:space="preserve">“A Review of Target Decomposition Theorems in Radar Polarimetry.”</w:t>
      </w:r>
      <w:r>
        <w:t xml:space="preserve"> </w:t>
      </w:r>
      <w:r>
        <w:rPr>
          <w:i/>
          <w:iCs/>
        </w:rPr>
        <w:t xml:space="preserve">IEEE Transactions on Geoscience and Remote Sensing</w:t>
      </w:r>
      <w:r>
        <w:t xml:space="preserve"> </w:t>
      </w:r>
      <w:r>
        <w:t xml:space="preserve">34 (2): 498–518.</w:t>
      </w:r>
      <w:r>
        <w:t xml:space="preserve"> </w:t>
      </w:r>
      <w:hyperlink r:id="rId255">
        <w:r>
          <w:rPr>
            <w:rStyle w:val="Hyperlink"/>
          </w:rPr>
          <w:t xml:space="preserve">https://doi.org/10.1109/36.485127</w:t>
        </w:r>
      </w:hyperlink>
      <w:r>
        <w:t xml:space="preserve">.</w:t>
      </w:r>
    </w:p>
    <w:bookmarkEnd w:id="256"/>
    <w:bookmarkStart w:id="258" w:name="ref-freeman1998"/>
    <w:p>
      <w:pPr>
        <w:pStyle w:val="Literaturverzeichnis"/>
      </w:pPr>
      <w:r>
        <w:t xml:space="preserve">Freeman, Anthony, and S. L. Durden. 1998.</w:t>
      </w:r>
      <w:r>
        <w:t xml:space="preserve"> </w:t>
      </w:r>
      <w:r>
        <w:t xml:space="preserve">“A Three-Component Scattering Model for Polarimetric SAR Data.”</w:t>
      </w:r>
      <w:r>
        <w:t xml:space="preserve"> </w:t>
      </w:r>
      <w:r>
        <w:rPr>
          <w:i/>
          <w:iCs/>
        </w:rPr>
        <w:t xml:space="preserve">Geoscience and Remote Sensing, IEEE Transactions on</w:t>
      </w:r>
      <w:r>
        <w:t xml:space="preserve"> </w:t>
      </w:r>
      <w:r>
        <w:t xml:space="preserve">36 (June): 963–73.</w:t>
      </w:r>
      <w:r>
        <w:t xml:space="preserve"> </w:t>
      </w:r>
      <w:hyperlink r:id="rId257">
        <w:r>
          <w:rPr>
            <w:rStyle w:val="Hyperlink"/>
          </w:rPr>
          <w:t xml:space="preserve">https://doi.org/10.1109/36.673687</w:t>
        </w:r>
      </w:hyperlink>
      <w:r>
        <w:t xml:space="preserve">.</w:t>
      </w:r>
    </w:p>
    <w:bookmarkEnd w:id="258"/>
    <w:bookmarkStart w:id="260" w:name="ref-gens2013"/>
    <w:p>
      <w:pPr>
        <w:pStyle w:val="Literaturverzeichnis"/>
      </w:pPr>
      <w:r>
        <w:t xml:space="preserve">Gens, R., Donald Atwood, and Eric Pottier. 2013.</w:t>
      </w:r>
      <w:r>
        <w:t xml:space="preserve"> </w:t>
      </w:r>
      <w:r>
        <w:t xml:space="preserve">“Geocoding of Polarimetric Processing Results: Alternative Processing Strategies.”</w:t>
      </w:r>
      <w:r>
        <w:t xml:space="preserve"> </w:t>
      </w:r>
      <w:r>
        <w:rPr>
          <w:i/>
          <w:iCs/>
        </w:rPr>
        <w:t xml:space="preserve">Remote Sensing Letters</w:t>
      </w:r>
      <w:r>
        <w:t xml:space="preserve"> </w:t>
      </w:r>
      <w:r>
        <w:t xml:space="preserve">4 (January): 38–44.</w:t>
      </w:r>
      <w:r>
        <w:t xml:space="preserve"> </w:t>
      </w:r>
      <w:hyperlink r:id="rId259">
        <w:r>
          <w:rPr>
            <w:rStyle w:val="Hyperlink"/>
          </w:rPr>
          <w:t xml:space="preserve">https://doi.org/10.1080/2150704X.2012.687470</w:t>
        </w:r>
      </w:hyperlink>
      <w:r>
        <w:t xml:space="preserve">.</w:t>
      </w:r>
    </w:p>
    <w:bookmarkEnd w:id="260"/>
    <w:bookmarkStart w:id="261"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61"/>
    <w:bookmarkStart w:id="262" w:name="ref-krogager1993"/>
    <w:p>
      <w:pPr>
        <w:pStyle w:val="Literaturverzeichnis"/>
      </w:pPr>
      <w:r>
        <w:t xml:space="preserve">Krogager, E., Dinamarca) Danmarks Tekniske Hojskole (Lingby, and Danish Defence Research Establishment. 1993.</w:t>
      </w:r>
      <w:r>
        <w:t xml:space="preserve"> </w:t>
      </w:r>
      <w:r>
        <w:rPr>
          <w:i/>
          <w:iCs/>
        </w:rPr>
        <w:t xml:space="preserve">Aspects of Polarimetric Radar Imaging</w:t>
      </w:r>
      <w:r>
        <w:t xml:space="preserve">. Danish Defence Research Establishment.</w:t>
      </w:r>
    </w:p>
    <w:bookmarkEnd w:id="262"/>
    <w:bookmarkStart w:id="264" w:name="ref-lee2009"/>
    <w:p>
      <w:pPr>
        <w:pStyle w:val="Literaturverzeichnis"/>
      </w:pPr>
      <w:r>
        <w:t xml:space="preserve">Lee, Jong-Sen, Jen-Hung Wen, T. L. Ainsworth, Kun-Shan Chen, and A. J. Chen. 2009.</w:t>
      </w:r>
      <w:r>
        <w:t xml:space="preserve"> </w:t>
      </w:r>
      <w:r>
        <w:t xml:space="preserve">“Improved Sigma Filter for Speckle Filtering of SAR Imagery.”</w:t>
      </w:r>
      <w:r>
        <w:t xml:space="preserve"> </w:t>
      </w:r>
      <w:r>
        <w:rPr>
          <w:i/>
          <w:iCs/>
        </w:rPr>
        <w:t xml:space="preserve">IEEE Transactions on Geoscience and Remote Sensing</w:t>
      </w:r>
      <w:r>
        <w:t xml:space="preserve"> </w:t>
      </w:r>
      <w:r>
        <w:t xml:space="preserve">47 (1): 202–13.</w:t>
      </w:r>
      <w:r>
        <w:t xml:space="preserve"> </w:t>
      </w:r>
      <w:hyperlink r:id="rId263">
        <w:r>
          <w:rPr>
            <w:rStyle w:val="Hyperlink"/>
          </w:rPr>
          <w:t xml:space="preserve">https://doi.org/10.1109/TGRS.2008.2002881</w:t>
        </w:r>
      </w:hyperlink>
      <w:r>
        <w:t xml:space="preserve">.</w:t>
      </w:r>
    </w:p>
    <w:bookmarkEnd w:id="264"/>
    <w:bookmarkStart w:id="266" w:name="ref-raney2012"/>
    <w:p>
      <w:pPr>
        <w:pStyle w:val="Literaturverzeichnis"/>
      </w:pPr>
      <w:r>
        <w:t xml:space="preserve">Raney, Russell, Joshua Cahill, G. Patterson, and D. Bussey. 2012.</w:t>
      </w:r>
      <w:r>
        <w:t xml:space="preserve"> </w:t>
      </w:r>
      <w:r>
        <w:t xml:space="preserve">“The m-Chi Decomposition of Hybrid Dual-Polarimetric Radar Data with Application to Lunar Craters.”</w:t>
      </w:r>
      <w:r>
        <w:t xml:space="preserve"> </w:t>
      </w:r>
      <w:r>
        <w:rPr>
          <w:i/>
          <w:iCs/>
        </w:rPr>
        <w:t xml:space="preserve">Journal of Geophysical Research (Planets)</w:t>
      </w:r>
      <w:r>
        <w:t xml:space="preserve"> </w:t>
      </w:r>
      <w:r>
        <w:t xml:space="preserve">117 (May).</w:t>
      </w:r>
      <w:r>
        <w:t xml:space="preserve"> </w:t>
      </w:r>
      <w:hyperlink r:id="rId265">
        <w:r>
          <w:rPr>
            <w:rStyle w:val="Hyperlink"/>
          </w:rPr>
          <w:t xml:space="preserve">https://doi.org/10.1029/2011JE003986</w:t>
        </w:r>
      </w:hyperlink>
      <w:r>
        <w:t xml:space="preserve">.</w:t>
      </w:r>
    </w:p>
    <w:bookmarkEnd w:id="266"/>
    <w:bookmarkStart w:id="268" w:name="ref-shiroma2022"/>
    <w:p>
      <w:pPr>
        <w:pStyle w:val="Literaturverzeichnis"/>
      </w:pPr>
      <w:r>
        <w:t xml:space="preserve">Shiroma, Gustavo H. X., Marco Lavalle, and Sean M. Buckley. 2022.</w:t>
      </w:r>
      <w:r>
        <w:t xml:space="preserve"> </w:t>
      </w:r>
      <w:r>
        <w:t xml:space="preserve">“An Area-Based Projection Algorithm for SAR Radiometric Terrain Correction and Geocoding.”</w:t>
      </w:r>
      <w:r>
        <w:t xml:space="preserve"> </w:t>
      </w:r>
      <w:r>
        <w:rPr>
          <w:i/>
          <w:iCs/>
        </w:rPr>
        <w:t xml:space="preserve">IEEE Transactions on Geoscience and Remote Sensing</w:t>
      </w:r>
      <w:r>
        <w:t xml:space="preserve"> </w:t>
      </w:r>
      <w:r>
        <w:t xml:space="preserve">60: 1–23.</w:t>
      </w:r>
      <w:r>
        <w:t xml:space="preserve"> </w:t>
      </w:r>
      <w:hyperlink r:id="rId267">
        <w:r>
          <w:rPr>
            <w:rStyle w:val="Hyperlink"/>
          </w:rPr>
          <w:t xml:space="preserve">https://doi.org/10.1109/TGRS.2022.3147472</w:t>
        </w:r>
      </w:hyperlink>
      <w:r>
        <w:t xml:space="preserve">.</w:t>
      </w:r>
    </w:p>
    <w:bookmarkEnd w:id="268"/>
    <w:bookmarkStart w:id="270" w:name="ref-small2011"/>
    <w:p>
      <w:pPr>
        <w:pStyle w:val="Literaturverzeichnis"/>
      </w:pPr>
      <w:r>
        <w:t xml:space="preserve">Small, David. 2011.</w:t>
      </w:r>
      <w:r>
        <w:t xml:space="preserve"> </w:t>
      </w:r>
      <w:r>
        <w:t xml:space="preserve">“Flattening Gamma: Radiometric Terrain Correction for SAR Imagery.”</w:t>
      </w:r>
      <w:r>
        <w:t xml:space="preserve"> </w:t>
      </w:r>
      <w:r>
        <w:rPr>
          <w:i/>
          <w:iCs/>
        </w:rPr>
        <w:t xml:space="preserve">IEEE Transactions on Geoscience and Remote Sensing</w:t>
      </w:r>
      <w:r>
        <w:t xml:space="preserve"> </w:t>
      </w:r>
      <w:r>
        <w:t xml:space="preserve">49 (8): 3081–93.</w:t>
      </w:r>
      <w:r>
        <w:t xml:space="preserve"> </w:t>
      </w:r>
      <w:hyperlink r:id="rId269">
        <w:r>
          <w:rPr>
            <w:rStyle w:val="Hyperlink"/>
          </w:rPr>
          <w:t xml:space="preserve">https://doi.org/10.1109/TGRS.2011.2120616</w:t>
        </w:r>
      </w:hyperlink>
      <w:r>
        <w:t xml:space="preserve">.</w:t>
      </w:r>
    </w:p>
    <w:bookmarkEnd w:id="270"/>
    <w:bookmarkStart w:id="272" w:name="ref-toutin2013"/>
    <w:p>
      <w:pPr>
        <w:pStyle w:val="Literaturverzeichnis"/>
      </w:pPr>
      <w:r>
        <w:t xml:space="preserve">Toutin, Thierry, Huili Wang, Pierre Chomaz, and Eric Pottier. 2013.</w:t>
      </w:r>
      <w:r>
        <w:t xml:space="preserve"> </w:t>
      </w:r>
      <w:r>
        <w:t xml:space="preserve">“Orthorectification of Full-Polarimetric Radarsat-2 Data Using Accurate LIDAR DSM.”</w:t>
      </w:r>
      <w:r>
        <w:t xml:space="preserve"> </w:t>
      </w:r>
      <w:r>
        <w:rPr>
          <w:i/>
          <w:iCs/>
        </w:rPr>
        <w:t xml:space="preserve">Geoscience and Remote Sensing, IEEE Transactions on</w:t>
      </w:r>
      <w:r>
        <w:t xml:space="preserve"> </w:t>
      </w:r>
      <w:r>
        <w:t xml:space="preserve">51 (December): 5252–58.</w:t>
      </w:r>
      <w:r>
        <w:t xml:space="preserve"> </w:t>
      </w:r>
      <w:hyperlink r:id="rId271">
        <w:r>
          <w:rPr>
            <w:rStyle w:val="Hyperlink"/>
          </w:rPr>
          <w:t xml:space="preserve">https://doi.org/10.1109/TGRS.2012.2233206</w:t>
        </w:r>
      </w:hyperlink>
      <w:r>
        <w:t xml:space="preserve">.</w:t>
      </w:r>
    </w:p>
    <w:bookmarkEnd w:id="272"/>
    <w:bookmarkStart w:id="274" w:name="ref-yamaguchi2011"/>
    <w:p>
      <w:pPr>
        <w:pStyle w:val="Literaturverzeichnis"/>
      </w:pPr>
      <w:r>
        <w:t xml:space="preserve">Yamaguchi, Yoshio, Akinobu Sato, Wolfgang-Martin Boerner, Ryoichi Sato, and Hiroyoshi Yamada. 2011.</w:t>
      </w:r>
      <w:r>
        <w:t xml:space="preserve"> </w:t>
      </w:r>
      <w:r>
        <w:t xml:space="preserve">“Four-Component Scattering Power Decomposition with Rotation of Coherency Matrix.”</w:t>
      </w:r>
      <w:r>
        <w:t xml:space="preserve"> </w:t>
      </w:r>
      <w:r>
        <w:rPr>
          <w:i/>
          <w:iCs/>
        </w:rPr>
        <w:t xml:space="preserve">Geoscience and Remote Sensing, IEEE Transactions on</w:t>
      </w:r>
      <w:r>
        <w:t xml:space="preserve"> </w:t>
      </w:r>
      <w:r>
        <w:t xml:space="preserve">49 (July): 2251–58.</w:t>
      </w:r>
      <w:r>
        <w:t xml:space="preserve"> </w:t>
      </w:r>
      <w:hyperlink r:id="rId273">
        <w:r>
          <w:rPr>
            <w:rStyle w:val="Hyperlink"/>
          </w:rPr>
          <w:t xml:space="preserve">https://doi.org/10.1109/TGRS.2010.2099124</w:t>
        </w:r>
      </w:hyperlink>
      <w:r>
        <w:t xml:space="preserve">.</w:t>
      </w:r>
    </w:p>
    <w:bookmarkEnd w:id="274"/>
    <w:bookmarkStart w:id="276" w:name="ref-zebker2017"/>
    <w:p>
      <w:pPr>
        <w:pStyle w:val="Literaturverzeichnis"/>
      </w:pPr>
      <w:r>
        <w:t xml:space="preserve">Zebker, Howard. 2017.</w:t>
      </w:r>
      <w:r>
        <w:t xml:space="preserve"> </w:t>
      </w:r>
      <w:r>
        <w:t xml:space="preserve">“User-Friendly InSAR Data Products: Fast and Simple Timeseries Processing.”</w:t>
      </w:r>
      <w:r>
        <w:t xml:space="preserve"> </w:t>
      </w:r>
      <w:r>
        <w:rPr>
          <w:i/>
          <w:iCs/>
        </w:rPr>
        <w:t xml:space="preserve">IEEE Geoscience and Remote Sensing Letters</w:t>
      </w:r>
      <w:r>
        <w:t xml:space="preserve"> </w:t>
      </w:r>
      <w:r>
        <w:t xml:space="preserve">14 (October): 1–5.</w:t>
      </w:r>
      <w:r>
        <w:t xml:space="preserve"> </w:t>
      </w:r>
      <w:hyperlink r:id="rId275">
        <w:r>
          <w:rPr>
            <w:rStyle w:val="Hyperlink"/>
          </w:rPr>
          <w:t xml:space="preserve">https://doi.org/10.1109/LGRS.2017.2753580</w:t>
        </w:r>
      </w:hyperlink>
      <w:r>
        <w:t xml:space="preserve">.</w:t>
      </w:r>
    </w:p>
    <w:bookmarkEnd w:id="276"/>
    <w:bookmarkStart w:id="278" w:name="ref-zebker2010"/>
    <w:p>
      <w:pPr>
        <w:pStyle w:val="Literaturverzeichnis"/>
      </w:pPr>
      <w:r>
        <w:t xml:space="preserve">Zebker, Howard A., Scott Hensley, Piyush Shanker, and Cody Wortham. 2010.</w:t>
      </w:r>
      <w:r>
        <w:t xml:space="preserve"> </w:t>
      </w:r>
      <w:r>
        <w:t xml:space="preserve">“Geodetically Accurate InSAR Data Processor.”</w:t>
      </w:r>
      <w:r>
        <w:t xml:space="preserve"> </w:t>
      </w:r>
      <w:r>
        <w:rPr>
          <w:i/>
          <w:iCs/>
        </w:rPr>
        <w:t xml:space="preserve">IEEE Transactions on Geoscience and Remote Sensing</w:t>
      </w:r>
      <w:r>
        <w:t xml:space="preserve"> </w:t>
      </w:r>
      <w:r>
        <w:t xml:space="preserve">48 (12): 4309–21.</w:t>
      </w:r>
      <w:r>
        <w:t xml:space="preserve"> </w:t>
      </w:r>
      <w:hyperlink r:id="rId277">
        <w:r>
          <w:rPr>
            <w:rStyle w:val="Hyperlink"/>
          </w:rPr>
          <w:t xml:space="preserve">https://doi.org/10.1109/TGRS.2010.2051333</w:t>
        </w:r>
      </w:hyperlink>
      <w:r>
        <w:t xml:space="preserve">.</w:t>
      </w:r>
    </w:p>
    <w:bookmarkEnd w:id="278"/>
    <w:bookmarkEnd w:id="279"/>
    <w:p>
      <w:r>
        <w:br w:type="page"/>
      </w:r>
    </w:p>
    <w:bookmarkEnd w:id="280"/>
    <w:bookmarkStart w:id="316" w:name="annexes"/>
    <w:p>
      <w:pPr>
        <w:pStyle w:val="berschrift2"/>
      </w:pPr>
      <w:r>
        <w:t xml:space="preserve">Annexes</w:t>
      </w:r>
    </w:p>
    <w:bookmarkStart w:id="282" w:name="sec:annex-sar-general-processing-roadmap"/>
    <w:p>
      <w:pPr>
        <w:pStyle w:val="berschrift3"/>
      </w:pPr>
      <w:r>
        <w:t xml:space="preserve">General Processing Map</w:t>
      </w:r>
    </w:p>
    <w:p>
      <w:pPr>
        <w:pStyle w:val="FirstParagraph"/>
      </w:pPr>
      <w:r>
        <w:t xml:space="preserve">The radiometric interoperability of CEOS-ARD SAR products is ensured by a common processing chain during production. The recommended processing roadmap involves the following steps:</w:t>
      </w:r>
    </w:p>
    <w:p>
      <w:pPr>
        <w:pStyle w:val="Compact"/>
        <w:numPr>
          <w:ilvl w:val="0"/>
          <w:numId w:val="1093"/>
        </w:numPr>
      </w:pPr>
      <w:r>
        <w:t xml:space="preserve">Apply the best possible orbit parameters to give the most accurate product possible. These will have been projected to an ellipsoidal model such as WGS84. To achieve the level of geometric accuracy required for the DEM-based correction, precise orbit determination will be required.</w:t>
      </w:r>
    </w:p>
    <w:p>
      <w:pPr>
        <w:pStyle w:val="Compact"/>
        <w:numPr>
          <w:ilvl w:val="0"/>
          <w:numId w:val="1093"/>
        </w:numPr>
      </w:pPr>
      <w:r>
        <w:t xml:space="preserve">Apply instrument calibration to produce Beta-Nought values with high fidelity.</w:t>
      </w:r>
    </w:p>
    <w:p>
      <w:pPr>
        <w:pStyle w:val="Compact"/>
        <w:numPr>
          <w:ilvl w:val="0"/>
          <w:numId w:val="1093"/>
        </w:numPr>
      </w:pPr>
      <w:r>
        <w:t xml:space="preserve">Convert Single-Look-Complex (SLC) radiometric channel(s) to intensity NRB, ORB and POL and in addition for POL, the cross-product element(s) of the covariance as shown in Section </w:t>
      </w:r>
      <w:r>
        <w:t xml:space="preserve">“</w:t>
      </w:r>
      <w:hyperlink w:anchor="sec:annex-sar-pol-covmat">
        <w:r>
          <w:rPr>
            <w:rStyle w:val="Hyperlink"/>
          </w:rPr>
          <w:t xml:space="preserve">Normalised Covariance Matrices (CovMat)</w:t>
        </w:r>
      </w:hyperlink>
      <w:r>
        <w:t xml:space="preserve">”</w:t>
      </w:r>
      <w:r>
        <w:t xml:space="preserve">.</w:t>
      </w:r>
    </w:p>
    <w:p>
      <w:pPr>
        <w:pStyle w:val="Compact"/>
        <w:numPr>
          <w:ilvl w:val="0"/>
          <w:numId w:val="1093"/>
        </w:numPr>
      </w:pPr>
      <w:r>
        <w:t xml:space="preserve">Perform radiometric terrain correction (gamma backscatter convention terrain-flattening) on the covariance matrix by applying the local surface normalisation factor to each backscatter measurement element</w:t>
      </w:r>
      <w:r>
        <w:t xml:space="preserve"> </w:t>
      </w:r>
      <w:r>
        <w:t xml:space="preserve">(</w:t>
      </w:r>
      <w:hyperlink w:anchor="ref-small2011">
        <w:r>
          <w:rPr>
            <w:rStyle w:val="Hyperlink"/>
          </w:rPr>
          <w:t xml:space="preserve">Small 2011</w:t>
        </w:r>
      </w:hyperlink>
      <w:r>
        <w:t xml:space="preserve">;</w:t>
      </w:r>
      <w:r>
        <w:t xml:space="preserve"> </w:t>
      </w:r>
      <w:hyperlink w:anchor="ref-shiroma2022">
        <w:r>
          <w:rPr>
            <w:rStyle w:val="Hyperlink"/>
          </w:rPr>
          <w:t xml:space="preserve">Shiroma, Lavalle, and Buckley 2022</w:t>
        </w:r>
      </w:hyperlink>
      <w:r>
        <w:t xml:space="preserve">)</w:t>
      </w:r>
      <w:r>
        <w:t xml:space="preserve">.</w:t>
      </w:r>
    </w:p>
    <w:p>
      <w:pPr>
        <w:pStyle w:val="Compact"/>
        <w:numPr>
          <w:ilvl w:val="0"/>
          <w:numId w:val="1093"/>
        </w:numPr>
      </w:pPr>
      <w:r>
        <w:t xml:space="preserve">Perform polarimetric speckle filtering (optional for NRB and ORB), before geocoding, to optimally preserve the polarimetric information. Most popular polarimetric decomposition methodologies are incoherent in nature, which requires averaging the covariance matrix for stationarity. Depending on the application, a polarimetric filter that preserves local point targets and locally average extended targets may be used, e.g., Sigma Lee filter with 7x7 window and 3-point target</w:t>
      </w:r>
      <w:r>
        <w:t xml:space="preserve"> </w:t>
      </w:r>
      <w:r>
        <w:t xml:space="preserve">(</w:t>
      </w:r>
      <w:hyperlink w:anchor="ref-lee2009">
        <w:r>
          <w:rPr>
            <w:rStyle w:val="Hyperlink"/>
          </w:rPr>
          <w:t xml:space="preserve">Lee et al. 2009</w:t>
        </w:r>
      </w:hyperlink>
      <w:r>
        <w:t xml:space="preserve">)</w:t>
      </w:r>
      <w:r>
        <w:t xml:space="preserve">. Multi-looking could be performed to meet optimal output sample spacing before the geometric correction step. No speckle filtering or multi-looking is performed for GSLC products.</w:t>
      </w:r>
    </w:p>
    <w:p>
      <w:pPr>
        <w:pStyle w:val="Compact"/>
        <w:numPr>
          <w:ilvl w:val="0"/>
          <w:numId w:val="1093"/>
        </w:numPr>
      </w:pPr>
      <w:r>
        <w:t xml:space="preserve">For GSLC products, the topographic phase is estimated relative to a reference orbit and removed from the SLC data</w:t>
      </w:r>
      <w:r>
        <w:t xml:space="preserve"> </w:t>
      </w:r>
      <w:r>
        <w:t xml:space="preserve">(</w:t>
      </w:r>
      <w:hyperlink w:anchor="ref-zebker2010">
        <w:r>
          <w:rPr>
            <w:rStyle w:val="Hyperlink"/>
          </w:rPr>
          <w:t xml:space="preserve">H. A. Zebker et al. 2010</w:t>
        </w:r>
      </w:hyperlink>
      <w:r>
        <w:t xml:space="preserve">;</w:t>
      </w:r>
      <w:r>
        <w:t xml:space="preserve"> </w:t>
      </w:r>
      <w:hyperlink w:anchor="ref-zebker2017">
        <w:r>
          <w:rPr>
            <w:rStyle w:val="Hyperlink"/>
          </w:rPr>
          <w:t xml:space="preserve">H. Zebker 2017</w:t>
        </w:r>
      </w:hyperlink>
      <w:r>
        <w:t xml:space="preserve">)</w:t>
      </w:r>
      <w:r>
        <w:t xml:space="preserve"> </w:t>
      </w:r>
      <w:r>
        <w:t xml:space="preserve">(see Section </w:t>
      </w:r>
      <w:r>
        <w:t xml:space="preserve">“</w:t>
      </w:r>
      <w:hyperlink w:anchor="sec:annex-sar-topographic-phase-removal">
        <w:r>
          <w:rPr>
            <w:rStyle w:val="Hyperlink"/>
          </w:rPr>
          <w:t xml:space="preserve">Topographic phase removal</w:t>
        </w:r>
      </w:hyperlink>
      <w:r>
        <w:t xml:space="preserve">”</w:t>
      </w:r>
      <w:r>
        <w:t xml:space="preserve">)</w:t>
      </w:r>
    </w:p>
    <w:p>
      <w:pPr>
        <w:pStyle w:val="Compact"/>
        <w:numPr>
          <w:ilvl w:val="0"/>
          <w:numId w:val="1093"/>
        </w:numPr>
      </w:pPr>
      <w:r>
        <w:t xml:space="preserve">Geometric terrain correction (relative to geoid for ORB) is applied to the normalized backscatter measurement data. For POL, the resampling methodology should be nearest-neighbour, bilinear or average in order to preserve integrity of the covariance matrix as other resampling functions can introduce artefacts due to the mix of intensity and complex number elements in the matrix. Geocoding to a common grid structure with specified pixel spacings for true data cube format.</w:t>
      </w:r>
    </w:p>
    <w:p>
      <w:pPr>
        <w:pStyle w:val="Compact"/>
        <w:numPr>
          <w:ilvl w:val="0"/>
          <w:numId w:val="1093"/>
        </w:numPr>
      </w:pPr>
      <w:r>
        <w:t xml:space="preserve">Generate CEOS format metadata to accompany product layers.</w:t>
      </w:r>
    </w:p>
    <w:p>
      <w:pPr>
        <w:pStyle w:val="Compact"/>
        <w:numPr>
          <w:ilvl w:val="0"/>
          <w:numId w:val="1093"/>
        </w:numPr>
      </w:pPr>
      <w:r>
        <w:t xml:space="preserve">Optionally, a SpatioTemporal Asset Catalog (STAC) file is added to the product.</w:t>
      </w:r>
    </w:p>
    <w:p>
      <w:pPr>
        <w:pStyle w:val="FirstParagraph"/>
      </w:pPr>
      <w:r>
        <w:t xml:space="preserve">Table </w:t>
      </w:r>
      <w:hyperlink w:anchor="tbl:sar-general-processing-roadmap-tbl1">
        <w:r>
          <w:rPr>
            <w:rStyle w:val="Hyperlink"/>
          </w:rPr>
          <w:t xml:space="preserve">1</w:t>
        </w:r>
      </w:hyperlink>
      <w:r>
        <w:t xml:space="preserve"> </w:t>
      </w:r>
      <w:r>
        <w:t xml:space="preserve">lists possible sequential steps and existing software tools (e.g., Gamma software (GAMMA, 2018)) and scripting tasks that can be used to form the CEOS-ARD SAR processing roadmap.</w:t>
      </w:r>
    </w:p>
    <w:bookmarkStart w:id="281" w:name="tbl:sar-general-processing-roadmap-tbl1"/>
    <w:p>
      <w:pPr>
        <w:pStyle w:val="TableCaption"/>
      </w:pPr>
      <w:r>
        <w:t xml:space="preserve">Table 1: SAR ARD processing roadmap and software options. RADARSAT-2 Example</w:t>
      </w:r>
    </w:p>
    <w:tbl>
      <w:tblPr>
        <w:tblStyle w:val="Table"/>
        <w:tblW w:type="pct" w:w="5000"/>
        <w:tblLayout w:type="fixed"/>
        <w:tblLook w:firstRow="1" w:lastRow="0" w:firstColumn="0" w:lastColumn="0" w:noHBand="0" w:noVBand="0" w:val="0020"/>
        <w:tblCaption w:val="Table 1: SAR ARD processing roadmap and software options. RADARSAT-2 Example"/>
      </w:tblPr>
      <w:tblGrid>
        <w:gridCol w:w="3960"/>
        <w:gridCol w:w="3960"/>
      </w:tblGrid>
      <w:tr>
        <w:trPr>
          <w:tblHeader w:val="on"/>
        </w:trPr>
        <w:tc>
          <w:tcPr/>
          <w:p>
            <w:pPr>
              <w:pStyle w:val="Compact"/>
              <w:jc w:val="left"/>
            </w:pPr>
            <w:r>
              <w:t xml:space="preserve">Step</w:t>
            </w:r>
          </w:p>
        </w:tc>
        <w:tc>
          <w:tcPr/>
          <w:p>
            <w:pPr>
              <w:pStyle w:val="Compact"/>
              <w:jc w:val="left"/>
            </w:pPr>
            <w:r>
              <w:t xml:space="preserve">Implementation option</w:t>
            </w:r>
          </w:p>
        </w:tc>
      </w:tr>
      <w:tr>
        <w:tc>
          <w:tcPr/>
          <w:p>
            <w:pPr>
              <w:pStyle w:val="Compact"/>
              <w:jc w:val="left"/>
            </w:pPr>
            <w:r>
              <w:t xml:space="preserve">1. Orbital data refinement</w:t>
            </w:r>
          </w:p>
        </w:tc>
        <w:tc>
          <w:tcPr/>
          <w:p>
            <w:pPr>
              <w:pStyle w:val="Compact"/>
              <w:jc w:val="left"/>
            </w:pPr>
            <w:r>
              <w:t xml:space="preserve">Check xml date and delivered format. RADARSAT-2, pre EDOT (July 2015) replace. Post July 2015, check if</w:t>
            </w:r>
            <w:r>
              <w:t xml:space="preserve"> </w:t>
            </w:r>
            <w:r>
              <w:t xml:space="preserve">‘DEF’</w:t>
            </w:r>
            <w:r>
              <w:t xml:space="preserve">, otherwise replace. (Gamma - RSAT2_vec)</w:t>
            </w:r>
          </w:p>
        </w:tc>
      </w:tr>
      <w:tr>
        <w:tc>
          <w:tcPr/>
          <w:p>
            <w:pPr>
              <w:pStyle w:val="Compact"/>
              <w:jc w:val="left"/>
            </w:pPr>
            <w:r>
              <w:t xml:space="preserve">2. Apply radiometric scaling Look-Up Table (LUT) to Beta-Nought</w:t>
            </w:r>
          </w:p>
        </w:tc>
        <w:tc>
          <w:tcPr/>
          <w:p>
            <w:pPr>
              <w:pStyle w:val="Compact"/>
              <w:jc w:val="left"/>
            </w:pPr>
            <w:r>
              <w:t xml:space="preserve">Specification of LUT on ingest.
    (Gamma - par_RSAT2_SLC/SG)</w:t>
            </w:r>
          </w:p>
        </w:tc>
      </w:tr>
      <w:tr>
        <w:tc>
          <w:tcPr/>
          <w:p>
            <w:pPr>
              <w:pStyle w:val="Compact"/>
              <w:jc w:val="left"/>
            </w:pPr>
            <w:r>
              <w:t xml:space="preserve">3. Generate covariance matrix elements</w:t>
            </w:r>
          </w:p>
        </w:tc>
        <w:tc>
          <w:tcPr/>
          <w:p>
            <w:pPr>
              <w:pStyle w:val="Compact"/>
              <w:jc w:val="left"/>
            </w:pPr>
            <w:r>
              <w:t xml:space="preserve">Gamma – COV_MATRIX</w:t>
            </w:r>
          </w:p>
        </w:tc>
      </w:tr>
      <w:tr>
        <w:tc>
          <w:tcPr/>
          <w:p>
            <w:pPr>
              <w:pStyle w:val="Compact"/>
              <w:jc w:val="left"/>
            </w:pPr>
            <w:r>
              <w:t xml:space="preserve">4. Radiometric terrain normalisation</w:t>
            </w:r>
          </w:p>
        </w:tc>
        <w:tc>
          <w:tcPr/>
          <w:p>
            <w:pPr>
              <w:pStyle w:val="Compact"/>
              <w:jc w:val="left"/>
            </w:pPr>
            <w:r>
              <w:t xml:space="preserve">Gamma - geo_radcal2</w:t>
            </w:r>
          </w:p>
        </w:tc>
      </w:tr>
      <w:tr>
        <w:tc>
          <w:tcPr/>
          <w:p>
            <w:pPr>
              <w:pStyle w:val="Compact"/>
              <w:jc w:val="left"/>
            </w:pPr>
            <w:r>
              <w:t xml:space="preserve">5. Speckle filtering (Boxcar or Sigma Lee)</w:t>
            </w:r>
          </w:p>
        </w:tc>
        <w:tc>
          <w:tcPr/>
          <w:p>
            <w:pPr>
              <w:pStyle w:val="Compact"/>
              <w:jc w:val="left"/>
            </w:pPr>
            <w:r>
              <w:t xml:space="preserve">Custom scripting</w:t>
            </w:r>
          </w:p>
        </w:tc>
      </w:tr>
      <w:tr>
        <w:tc>
          <w:tcPr/>
          <w:p>
            <w:pPr>
              <w:pStyle w:val="Compact"/>
              <w:jc w:val="left"/>
            </w:pPr>
            <w:r>
              <w:t xml:space="preserve">6. Geometric terrain correction/Geocoding</w:t>
            </w:r>
          </w:p>
        </w:tc>
        <w:tc>
          <w:tcPr/>
          <w:p>
            <w:pPr>
              <w:pStyle w:val="Compact"/>
              <w:jc w:val="left"/>
            </w:pPr>
            <w:r>
              <w:t xml:space="preserve">Gamma – gc_map and geocode_back</w:t>
            </w:r>
          </w:p>
        </w:tc>
      </w:tr>
      <w:tr>
        <w:tc>
          <w:tcPr/>
          <w:p>
            <w:pPr>
              <w:pStyle w:val="Compact"/>
              <w:jc w:val="left"/>
            </w:pPr>
            <w:r>
              <w:t xml:space="preserve">7. Create metadata</w:t>
            </w:r>
          </w:p>
        </w:tc>
        <w:tc>
          <w:tcPr/>
          <w:p>
            <w:pPr>
              <w:pStyle w:val="Compact"/>
              <w:jc w:val="left"/>
            </w:pPr>
            <w:r>
              <w:t xml:space="preserve">Custom scripting</w:t>
            </w:r>
          </w:p>
        </w:tc>
      </w:tr>
    </w:tbl>
    <w:bookmarkEnd w:id="281"/>
    <w:bookmarkEnd w:id="282"/>
    <w:bookmarkStart w:id="294" w:name="sec:annex-sar-topographic-phase-removal"/>
    <w:p>
      <w:pPr>
        <w:pStyle w:val="berschrift3"/>
      </w:pPr>
      <w:r>
        <w:t xml:space="preserve">Topographic phase removal</w:t>
      </w:r>
    </w:p>
    <w:p>
      <w:pPr>
        <w:pStyle w:val="FirstParagraph"/>
      </w:pPr>
      <w:r>
        <w:t xml:space="preserve">InSAR analysis capabilities from CEOS-ARD SAR products are enabled with GSLC products, which is also the case when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are included in the NRB or POL products. This is made possible since the simulated topographic phase relative to a given reference orbit has been subtracted.</w:t>
      </w:r>
    </w:p>
    <w:p>
      <w:pPr>
        <w:pStyle w:val="Textkrper"/>
      </w:pPr>
      <w:r>
        <w:t xml:space="preserve">From classical approach with SLC data, interferometric phase</w:t>
      </w:r>
      <w:r>
        <w:t xml:space="preserve"> </w:t>
      </w:r>
      <m:oMath>
        <m:r>
          <m:t>Δ</m:t>
        </m:r>
        <m:sSub>
          <m:e>
            <m:r>
              <m:t>φ</m:t>
            </m:r>
          </m:e>
          <m:sub>
            <m:r>
              <m:t>1</m:t>
            </m:r>
            <m:r>
              <m:rPr>
                <m:sty m:val="p"/>
              </m:rPr>
              <m:t>−</m:t>
            </m:r>
            <m:r>
              <m:t>2</m:t>
            </m:r>
          </m:sub>
        </m:sSub>
      </m:oMath>
      <w:r>
        <w:t xml:space="preserve"> </w:t>
      </w:r>
      <w:r>
        <w:t xml:space="preserve">between two SAR acquisitions is composed of a topographic phase</w:t>
      </w:r>
      <w:r>
        <w:t xml:space="preserve"> </w:t>
      </w:r>
      <m:oMath>
        <m:r>
          <m:t>Δ</m:t>
        </m:r>
        <m:sSub>
          <m:e>
            <m:r>
              <m:t>φ</m:t>
            </m:r>
          </m:e>
          <m:sub>
            <m:r>
              <m:rPr>
                <m:nor/>
                <m:sty m:val="p"/>
              </m:rPr>
              <m:t>Topo</m:t>
            </m:r>
            <m:r>
              <m:rPr>
                <m:sty m:val="p"/>
              </m:rPr>
              <m:t>_</m:t>
            </m:r>
            <m:r>
              <m:t>1</m:t>
            </m:r>
            <m:r>
              <m:rPr>
                <m:sty m:val="p"/>
              </m:rPr>
              <m:t>−</m:t>
            </m:r>
            <m:r>
              <m:t>2</m:t>
            </m:r>
          </m:sub>
        </m:sSub>
      </m:oMath>
      <w:r>
        <w:t xml:space="preserve">, a surface displacement phase</w:t>
      </w:r>
      <w:r>
        <w:t xml:space="preserve"> </w:t>
      </w:r>
      <m:oMath>
        <m:r>
          <m:t>Δ</m:t>
        </m:r>
        <m:sSub>
          <m:e>
            <m:r>
              <m:t>φ</m:t>
            </m:r>
          </m:e>
          <m:sub>
            <m:r>
              <m:rPr>
                <m:nor/>
                <m:sty m:val="p"/>
              </m:rPr>
              <m:t>Disp</m:t>
            </m:r>
            <m:r>
              <m:rPr>
                <m:sty m:val="p"/>
              </m:rPr>
              <m:t>_</m:t>
            </m:r>
            <m:r>
              <m:t>1</m:t>
            </m:r>
            <m:r>
              <m:rPr>
                <m:sty m:val="p"/>
              </m:rPr>
              <m:t>−</m:t>
            </m:r>
            <m:r>
              <m:t>2</m:t>
            </m:r>
          </m:sub>
        </m:sSub>
      </m:oMath>
      <w:r>
        <w:t xml:space="preserve"> </w:t>
      </w:r>
      <w:r>
        <w:t xml:space="preserve">and other noise terms</w:t>
      </w:r>
      <w:r>
        <w:t xml:space="preserve"> </w:t>
      </w:r>
      <m:oMath>
        <m:r>
          <m:t>Δ</m:t>
        </m:r>
        <m:sSub>
          <m:e>
            <m:r>
              <m:t>φ</m:t>
            </m:r>
          </m:e>
          <m:sub>
            <m:r>
              <m:rPr>
                <m:nor/>
                <m:sty m:val="p"/>
              </m:rPr>
              <m:t>Noise</m:t>
            </m:r>
            <m:r>
              <m:rPr>
                <m:sty m:val="p"/>
              </m:rPr>
              <m:t>_</m:t>
            </m:r>
            <m:r>
              <m:t>1</m:t>
            </m:r>
            <m:r>
              <m:rPr>
                <m:sty m:val="p"/>
              </m:rPr>
              <m:t>−</m:t>
            </m:r>
            <m:r>
              <m:t>2</m:t>
            </m:r>
          </m:sub>
        </m:sSub>
      </m:oMath>
      <w:r>
        <w:t xml:space="preserve"> </w:t>
      </w:r>
      <w:r>
        <w:t xml:space="preserve">(Eq. </w:t>
      </w:r>
      <w:hyperlink w:anchor="eq:sar-topographic-phase-removal-eq1">
        <w:r>
          <w:rPr>
            <w:rStyle w:val="Hyperlink"/>
          </w:rPr>
          <w:t xml:space="preserve">1</w:t>
        </w:r>
      </w:hyperlink>
      <w:r>
        <w:t xml:space="preserve">). The topographic phase consists to the difference in geometrical path length from each of the two antenna positions to the point on the SAR image (</w:t>
      </w:r>
      <m:oMath>
        <m:sSub>
          <m:e>
            <m:r>
              <m:t>φ</m:t>
            </m:r>
          </m:e>
          <m:sub>
            <m:r>
              <m:rPr>
                <m:nor/>
                <m:sty m:val="p"/>
              </m:rPr>
              <m:t>DEM</m:t>
            </m:r>
            <m:r>
              <m:rPr>
                <m:sty m:val="p"/>
              </m:rPr>
              <m:t>_</m:t>
            </m:r>
            <m:r>
              <m:rPr>
                <m:nor/>
                <m:sty m:val="p"/>
              </m:rPr>
              <m:t>SLC</m:t>
            </m:r>
          </m:sub>
        </m:sSub>
      </m:oMath>
      <w:r>
        <w:t xml:space="preserve">) and is a function of their orbital baseline distance (Eq. </w:t>
      </w:r>
      <w:hyperlink w:anchor="eq:sar-topographic-phase-removal-eq2">
        <w:r>
          <w:rPr>
            <w:rStyle w:val="Hyperlink"/>
          </w:rPr>
          <w:t xml:space="preserve">2</w:t>
        </w:r>
      </w:hyperlink>
      <w:r>
        <w:t xml:space="preserve">). The surface displacement phase is related to the displacement of the surface that occurred in between the two acquisitions. The noise term is the function of the radar signal interaction with the atmosphere and the ionosphere during each acquisition and function of the system noise.</w:t>
      </w:r>
    </w:p>
    <w:p>
      <w:pPr>
        <w:pStyle w:val="Textkrper"/>
      </w:pPr>
      <w:bookmarkStart w:id="283" w:name="eq:sar-topographic-phase-removal-eq1"/>
      <m:oMathPara>
        <m:oMathParaPr>
          <m:jc m:val="center"/>
        </m:oMathParaPr>
        <m:oMath>
          <m:r>
            <m:t>Δ</m:t>
          </m:r>
          <m:sSub>
            <m:e>
              <m:r>
                <m:t>φ</m:t>
              </m:r>
            </m:e>
            <m:sub>
              <m:r>
                <m:t>1</m:t>
              </m:r>
              <m:r>
                <m:rPr>
                  <m:sty m:val="p"/>
                </m:rPr>
                <m:t>−</m:t>
              </m:r>
              <m:r>
                <m:t>2</m:t>
              </m:r>
            </m:sub>
          </m:sSub>
          <m:r>
            <m:rPr>
              <m:sty m:val="p"/>
            </m:rPr>
            <m:t>=</m:t>
          </m:r>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t>  </m:t>
          </m:r>
          <m:d>
            <m:dPr>
              <m:begChr m:val="("/>
              <m:sepChr m:val=""/>
              <m:endChr m:val=")"/>
              <m:grow/>
            </m:dPr>
            <m:e>
              <m:r>
                <m:t>1</m:t>
              </m:r>
            </m:e>
          </m:d>
        </m:oMath>
      </m:oMathPara>
      <w:bookmarkEnd w:id="283"/>
    </w:p>
    <w:p>
      <w:pPr>
        <w:pStyle w:val="FirstParagraph"/>
      </w:pPr>
      <w:r>
        <w:t xml:space="preserve">Where</w:t>
      </w:r>
    </w:p>
    <w:p>
      <w:pPr>
        <w:pStyle w:val="Textkrper"/>
      </w:pPr>
      <w:bookmarkStart w:id="284" w:name="eq:sar-topographic-phase-removal-eq2"/>
      <m:oMathPara>
        <m:oMathParaPr>
          <m:jc m:val="center"/>
        </m:oMathParaPr>
        <m:oMath>
          <m:r>
            <m:t>Δ</m:t>
          </m:r>
          <m:sSub>
            <m:e>
              <m:r>
                <m:t>φ</m:t>
              </m:r>
            </m:e>
            <m:sub>
              <m:r>
                <m:rPr>
                  <m:nor/>
                  <m:sty m:val="p"/>
                </m:rPr>
                <m:t>Topo</m:t>
              </m:r>
              <m:r>
                <m:rPr>
                  <m:sty m:val="p"/>
                </m:rPr>
                <m:t>_</m:t>
              </m:r>
              <m:r>
                <m:t>1</m:t>
              </m:r>
              <m:r>
                <m:rPr>
                  <m:sty m:val="p"/>
                </m:rPr>
                <m:t>−</m:t>
              </m:r>
              <m:r>
                <m:t>2</m:t>
              </m:r>
            </m:sub>
          </m:sSub>
          <m:r>
            <m:rPr>
              <m:sty m:val="p"/>
            </m:rPr>
            <m:t>=</m:t>
          </m:r>
          <m:sSub>
            <m:e>
              <m:r>
                <m:t>φ</m:t>
              </m:r>
            </m:e>
            <m:sub>
              <m:r>
                <m:rPr>
                  <m:nor/>
                  <m:sty m:val="p"/>
                </m:rPr>
                <m:t>DEM</m:t>
              </m:r>
              <m:r>
                <m:rPr>
                  <m:sty m:val="p"/>
                </m:rPr>
                <m:t>_</m:t>
              </m:r>
              <m:r>
                <m:rPr>
                  <m:nor/>
                  <m:sty m:val="p"/>
                </m:rPr>
                <m:t>SLC</m:t>
              </m:r>
              <m:r>
                <m:rPr>
                  <m:sty m:val="p"/>
                </m:rPr>
                <m:t>_</m:t>
              </m:r>
              <m:r>
                <m:t>1</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2</m:t>
              </m:r>
            </m:e>
          </m:d>
        </m:oMath>
      </m:oMathPara>
      <w:bookmarkEnd w:id="284"/>
    </w:p>
    <w:p>
      <w:pPr>
        <w:pStyle w:val="FirstParagraph"/>
      </w:pPr>
      <w:r>
        <w:t xml:space="preserve">Since CEOS-ARD products are already geocoded, it is important to remove the wrapped simulated topographic phase</w:t>
      </w:r>
      <w:r>
        <w:t xml:space="preserve"> </w:t>
      </w:r>
      <m:oMath>
        <m:sSub>
          <m:e>
            <m:r>
              <m:t>φ</m:t>
            </m:r>
          </m:e>
          <m:sub>
            <m:r>
              <m:rPr>
                <m:nor/>
                <m:sty m:val="p"/>
              </m:rPr>
              <m:t>SimDEM</m:t>
            </m:r>
            <m:r>
              <m:rPr>
                <m:sty m:val="p"/>
              </m:rPr>
              <m:t>_</m:t>
            </m:r>
            <m:r>
              <m:rPr>
                <m:nor/>
                <m:sty m:val="p"/>
              </m:rPr>
              <m:t>SLC</m:t>
            </m:r>
          </m:sub>
        </m:sSub>
      </m:oMath>
      <w:r>
        <w:t xml:space="preserve"> </w:t>
      </w:r>
      <w:r>
        <w:t xml:space="preserve">from the data in slant range (Eq. </w:t>
      </w:r>
      <w:hyperlink w:anchor="eq:sar-topographic-phase-removal-eq3">
        <w:r>
          <w:rPr>
            <w:rStyle w:val="Hyperlink"/>
          </w:rPr>
          <w:t xml:space="preserve">3</w:t>
        </w:r>
      </w:hyperlink>
      <w:r>
        <w:t xml:space="preserve">) during their production, before the geocoding step. The key here is to simulate the topographic phase relatively to a constant reference orbit, as done in a regular InSAR processing. There are two different ways to simulate the topographic phase:</w:t>
      </w:r>
    </w:p>
    <w:p>
      <w:pPr>
        <w:pStyle w:val="Compact"/>
        <w:numPr>
          <w:ilvl w:val="0"/>
          <w:numId w:val="1094"/>
        </w:numPr>
      </w:pPr>
      <w:r>
        <w:t xml:space="preserve">The use of a virtual circular orbit above a nonrotating planet</w:t>
      </w:r>
      <w:r>
        <w:t xml:space="preserve"> </w:t>
      </w:r>
      <w:r>
        <w:t xml:space="preserve">(</w:t>
      </w:r>
      <w:hyperlink w:anchor="ref-zebker2010">
        <w:r>
          <w:rPr>
            <w:rStyle w:val="Hyperlink"/>
          </w:rPr>
          <w:t xml:space="preserve">H. A. Zebker et al. 2010</w:t>
        </w:r>
      </w:hyperlink>
      <w:r>
        <w:t xml:space="preserve">)</w:t>
      </w:r>
    </w:p>
    <w:p>
      <w:pPr>
        <w:pStyle w:val="Compact"/>
        <w:numPr>
          <w:ilvl w:val="0"/>
          <w:numId w:val="1094"/>
        </w:numPr>
      </w:pPr>
      <w:r>
        <w:t xml:space="preserve">The use of a specific orbit cycle or a simulated orbit of the SAR mission</w:t>
      </w:r>
    </w:p>
    <w:p>
      <w:pPr>
        <w:pStyle w:val="FirstParagraph"/>
      </w:pPr>
      <w:r>
        <w:t xml:space="preserve">In both cases, the InSAR topographic phase</w:t>
      </w:r>
      <w:r>
        <w:t xml:space="preserve"> </w:t>
      </w:r>
      <m:oMath>
        <m:r>
          <m:t>Δ</m:t>
        </m:r>
        <m:sSub>
          <m:e>
            <m:r>
              <m:t>φ</m:t>
            </m:r>
          </m:e>
          <m:sub>
            <m:r>
              <m:rPr>
                <m:nor/>
                <m:sty m:val="p"/>
              </m:rPr>
              <m:t>Topo</m:t>
            </m:r>
            <m:r>
              <m:rPr>
                <m:sty m:val="p"/>
              </m:rPr>
              <m:t>_</m:t>
            </m:r>
            <m:r>
              <m:rPr>
                <m:nor/>
                <m:sty m:val="p"/>
              </m:rPr>
              <m:t>OrbRef</m:t>
            </m:r>
            <m:r>
              <m:rPr>
                <m:sty m:val="p"/>
              </m:rPr>
              <m:t>−</m:t>
            </m:r>
            <m:r>
              <m:t>2</m:t>
            </m:r>
          </m:sub>
        </m:sSub>
      </m:oMath>
      <w:r>
        <w:t xml:space="preserve"> </w:t>
      </w:r>
      <w:r>
        <w:t xml:space="preserve">is simulated against the position of a virtual sensor</w:t>
      </w:r>
      <w:r>
        <w:t xml:space="preserve"> </w:t>
      </w:r>
      <m:oMath>
        <m:r>
          <m:t>Δ</m:t>
        </m:r>
        <m:sSub>
          <m:e>
            <m:r>
              <m:t>φ</m:t>
            </m:r>
          </m:e>
          <m:sub>
            <m:r>
              <m:rPr>
                <m:nor/>
                <m:sty m:val="p"/>
              </m:rPr>
              <m:t>Topo</m:t>
            </m:r>
            <m:r>
              <m:rPr>
                <m:sty m:val="p"/>
              </m:rPr>
              <m:t>_</m:t>
            </m:r>
            <m:r>
              <m:rPr>
                <m:nor/>
                <m:sty m:val="p"/>
              </m:rPr>
              <m:t>OrbRef</m:t>
            </m:r>
          </m:sub>
        </m:sSub>
      </m:oMath>
      <w:r>
        <w:t xml:space="preserve"> </w:t>
      </w:r>
      <w:r>
        <w:t xml:space="preserve">lying on a reference orbit, instead of being simulated relatively to an existing reference SAR acquisition (</w:t>
      </w:r>
      <m:oMath>
        <m:sSub>
          <m:e>
            <m:r>
              <m:t>φ</m:t>
            </m:r>
          </m:e>
          <m:sub>
            <m:r>
              <m:rPr>
                <m:nor/>
                <m:sty m:val="p"/>
              </m:rPr>
              <m:t>DEM</m:t>
            </m:r>
            <m:r>
              <m:rPr>
                <m:sty m:val="p"/>
              </m:rPr>
              <m:t>_</m:t>
            </m:r>
            <m:r>
              <m:rPr>
                <m:nor/>
                <m:sty m:val="p"/>
              </m:rPr>
              <m:t>SLC</m:t>
            </m:r>
            <m:r>
              <m:rPr>
                <m:sty m:val="p"/>
              </m:rPr>
              <m:t>_</m:t>
            </m:r>
            <m:r>
              <m:t>1</m:t>
            </m:r>
          </m:sub>
        </m:sSub>
      </m:oMath>
      <w:r>
        <w:t xml:space="preserve">). The use of a virtual circular orbit is a more robust approach since the reference orbit is defined at a fixed height above scene nadir and assuming the reference orbital height constant for all CEOS-ARD products. While with the second approach, the CEOS-ARD data producer must select a specific archived orbit cycle of the SAR mission or define a simulated one, from which the relative orbit, matching the one of the SAR acquisitions to be processed (to be converted to CEOS-ARD), is defined as the reference orbit. With this second approach, it is important to always use the same orbit cycle (or simulated orbit) for all the CEOS-ARD produced for a mission, in order to preserve the relevant compensated phase in between them. Providing absolute reference orbit number information in the metadata (item 1.7.15) allows users to validate the InSAR feasibility in between CEOS-ARD products.</w:t>
      </w:r>
    </w:p>
    <w:p>
      <w:pPr>
        <w:pStyle w:val="Textkrper"/>
      </w:pPr>
      <w:bookmarkStart w:id="285" w:name="eq:sar-topographic-phase-removal-eq3"/>
      <m:oMathPara>
        <m:oMathParaPr>
          <m:jc m:val="center"/>
        </m:oMathParaPr>
        <m:oMath>
          <m:sSub>
            <m:e>
              <m:r>
                <m:t>φ</m:t>
              </m:r>
            </m:e>
            <m:sub>
              <m:r>
                <m:rPr>
                  <m:nor/>
                  <m:sty m:val="p"/>
                </m:rPr>
                <m:t>Flattended</m:t>
              </m:r>
              <m:r>
                <m:rPr>
                  <m:sty m:val="p"/>
                </m:rPr>
                <m:t>_</m:t>
              </m:r>
              <m:r>
                <m:rPr>
                  <m:nor/>
                  <m:sty m:val="p"/>
                </m:rPr>
                <m:t>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t>  </m:t>
          </m:r>
          <m:d>
            <m:dPr>
              <m:begChr m:val="("/>
              <m:sepChr m:val=""/>
              <m:endChr m:val=")"/>
              <m:grow/>
            </m:dPr>
            <m:e>
              <m:r>
                <m:t>3</m:t>
              </m:r>
            </m:e>
          </m:d>
        </m:oMath>
      </m:oMathPara>
      <w:bookmarkEnd w:id="285"/>
    </w:p>
    <w:p>
      <w:pPr>
        <w:pStyle w:val="FirstParagraph"/>
      </w:pPr>
      <w:r>
        <w:t xml:space="preserve">This procedure is equivalent to bring the position of the sensor platform of all the SAR acquisitions at the same orbital position (i.e., zeros baseline distance in between), which results in a Flattened phase</w:t>
      </w:r>
      <w:r>
        <w:t xml:space="preserve"> </w:t>
      </w:r>
      <m:oMath>
        <m:sSub>
          <m:e>
            <m:r>
              <m:t>φ</m:t>
            </m:r>
          </m:e>
          <m:sub>
            <m:r>
              <m:rPr>
                <m:nor/>
                <m:sty m:val="p"/>
              </m:rPr>
              <m:t>Flattended</m:t>
            </m:r>
            <m:r>
              <m:rPr>
                <m:sty m:val="p"/>
              </m:rPr>
              <m:t>_</m:t>
            </m:r>
            <m:r>
              <m:rPr>
                <m:nor/>
                <m:sty m:val="p"/>
              </m:rPr>
              <m:t>SLC</m:t>
            </m:r>
          </m:sub>
        </m:sSub>
      </m:oMath>
      <w:r>
        <w:t xml:space="preserve">, independent of the local topography.</w:t>
      </w:r>
    </w:p>
    <w:p>
      <w:pPr>
        <w:pStyle w:val="Textkrper"/>
      </w:pPr>
      <w:r>
        <w:t xml:space="preserve">The phase subtraction could be performed by using a motion compensation approach</w:t>
      </w:r>
      <w:r>
        <w:t xml:space="preserve"> </w:t>
      </w:r>
      <w:r>
        <w:t xml:space="preserve">(</w:t>
      </w:r>
      <w:hyperlink w:anchor="ref-zebker2010">
        <w:r>
          <w:rPr>
            <w:rStyle w:val="Hyperlink"/>
          </w:rPr>
          <w:t xml:space="preserve">H. A. Zebker et al. 2010</w:t>
        </w:r>
      </w:hyperlink>
      <w:r>
        <w:t xml:space="preserve">)</w:t>
      </w:r>
      <w:r>
        <w:t xml:space="preserve"> </w:t>
      </w:r>
      <w:r>
        <w:t xml:space="preserve">or directly on the SLC data. Then the geometrical correction is performed on the Flattened SLC, which results in a GSLC product.</w:t>
      </w:r>
    </w:p>
    <w:p>
      <w:pPr>
        <w:pStyle w:val="Textkrper"/>
      </w:pPr>
      <w:r>
        <w:t xml:space="preserve">GSLC can also be saved as a NRB product by including the Flattened Phase per-pixel data (Section </w:t>
      </w:r>
      <w:r>
        <w:t xml:space="preserve">“</w:t>
      </w:r>
      <w:hyperlink w:anchor="sec:rcm.measurements-flattened-phase">
        <w:r>
          <w:rPr>
            <w:rStyle w:val="Hyperlink"/>
          </w:rPr>
          <w:t xml:space="preserve">Radiometrically Corrected Measurements: Flattened Phase</w:t>
        </w:r>
      </w:hyperlink>
      <w:r>
        <w:t xml:space="preserve">”</w:t>
      </w:r>
      <w:r>
        <w:t xml:space="preserve">) as follows:</w:t>
      </w:r>
    </w:p>
    <w:p>
      <w:pPr>
        <w:pStyle w:val="Textkrper"/>
      </w:pPr>
      <m:oMathPara>
        <m:oMathParaPr>
          <m:jc m:val="center"/>
        </m:oMathParaPr>
        <m:oMath>
          <m:r>
            <m:rPr>
              <m:nor/>
              <m:sty m:val="p"/>
            </m:rPr>
            <m:t>NRB:</m:t>
          </m:r>
          <m:r>
            <m:t> </m:t>
          </m:r>
          <m:sSubSup>
            <m:e>
              <m:r>
                <m:t>γ</m:t>
              </m:r>
            </m:e>
            <m:sub>
              <m:r>
                <m:t>T</m:t>
              </m:r>
            </m:sub>
            <m:sup>
              <m:r>
                <m:t>0</m:t>
              </m:r>
            </m:sup>
          </m:sSubSup>
          <m:r>
            <m:rPr>
              <m:sty m:val="p"/>
            </m:rPr>
            <m:t>=</m:t>
          </m:r>
          <m:sSup>
            <m:e>
              <m:d>
                <m:dPr>
                  <m:begChr m:val="|"/>
                  <m:sepChr m:val=""/>
                  <m:endChr m:val="|"/>
                  <m:grow/>
                </m:dPr>
                <m:e>
                  <m:r>
                    <m:t>G</m:t>
                  </m:r>
                  <m:r>
                    <m:t>S</m:t>
                  </m:r>
                  <m:r>
                    <m:t>L</m:t>
                  </m:r>
                  <m:r>
                    <m:t>C</m:t>
                  </m:r>
                </m:e>
              </m:d>
            </m:e>
            <m:sup>
              <m:r>
                <m:t>2</m:t>
              </m:r>
            </m:sup>
          </m:sSup>
        </m:oMath>
      </m:oMathPara>
    </w:p>
    <w:p>
      <w:pPr>
        <w:pStyle w:val="FirstParagraph"/>
      </w:pPr>
      <m:oMathPara>
        <m:oMathParaPr>
          <m:jc m:val="center"/>
        </m:oMathParaPr>
        <m:oMath>
          <m:r>
            <m:rPr>
              <m:nor/>
              <m:sty m:val="p"/>
            </m:rPr>
            <m:t>Flattended Phase:</m:t>
          </m:r>
          <m:r>
            <m:t> </m:t>
          </m:r>
          <m:sSub>
            <m:e>
              <m:r>
                <m:t>φ</m:t>
              </m:r>
            </m:e>
            <m:sub>
              <m:r>
                <m:rPr>
                  <m:nor/>
                  <m:sty m:val="p"/>
                </m:rPr>
                <m:t>Flattended</m:t>
              </m:r>
            </m:sub>
          </m:sSub>
          <m:r>
            <m:rPr>
              <m:sty m:val="p"/>
            </m:rPr>
            <m:t>=</m:t>
          </m:r>
          <m:r>
            <m:rPr>
              <m:sty m:val="p"/>
            </m:rPr>
            <m:t>arg</m:t>
          </m:r>
          <m:d>
            <m:dPr>
              <m:begChr m:val="("/>
              <m:sepChr m:val=""/>
              <m:endChr m:val=")"/>
              <m:grow/>
            </m:dPr>
            <m:e>
              <m:r>
                <m:t>G</m:t>
              </m:r>
              <m:r>
                <m:t>S</m:t>
              </m:r>
              <m:r>
                <m:t>L</m:t>
              </m:r>
              <m:r>
                <m:t>C</m:t>
              </m:r>
            </m:e>
          </m:d>
        </m:oMath>
      </m:oMathPara>
    </w:p>
    <w:p>
      <w:pPr>
        <w:pStyle w:val="FirstParagraph"/>
      </w:pPr>
      <w:r>
        <w:t xml:space="preserve">For POL product, the Flattened phase needs also to be subtracted from the complex number phase of the off-diagonal elements of the covariance matrix.</w:t>
      </w:r>
    </w:p>
    <w:p>
      <w:pPr>
        <w:pStyle w:val="Textkrper"/>
      </w:pPr>
      <w:r>
        <w:t xml:space="preserve">Demonstration:</w:t>
      </w:r>
    </w:p>
    <w:p>
      <w:pPr>
        <w:pStyle w:val="Textkrper"/>
      </w:pPr>
      <w:r>
        <w:t xml:space="preserve">From CEOS-ARD flattened SAR products, InSAR processing can be easily performed without dealing with topographic features and orbital sensor position, as for example with two GSLC products</w:t>
      </w:r>
    </w:p>
    <w:p>
      <w:pPr>
        <w:pStyle w:val="Textkrper"/>
      </w:pPr>
      <w:bookmarkStart w:id="286" w:name="eq:sar-topographic-phase-removal-eq4"/>
      <m:oMathPara>
        <m:oMathParaPr>
          <m:jc m:val="center"/>
        </m:oMathParaPr>
        <m:oMath>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SLC</m:t>
              </m:r>
              <m:r>
                <m:rPr>
                  <m:sty m:val="p"/>
                </m:rPr>
                <m:t>_</m:t>
              </m:r>
              <m:r>
                <m:t>1</m:t>
              </m:r>
            </m:sub>
          </m:sSub>
          <m:r>
            <m:rPr>
              <m:sty m:val="p"/>
            </m:rPr>
            <m:t>−</m:t>
          </m:r>
          <m:r>
            <m:t>Δ</m:t>
          </m:r>
          <m:sSub>
            <m:e>
              <m:r>
                <m:t>φ</m:t>
              </m:r>
            </m:e>
            <m:sub>
              <m:r>
                <m:rPr>
                  <m:nor/>
                  <m:sty m:val="p"/>
                </m:rPr>
                <m:t>Topo</m:t>
              </m:r>
              <m:r>
                <m:rPr>
                  <m:sty m:val="p"/>
                </m:rPr>
                <m:t>_</m:t>
              </m:r>
              <m:r>
                <m:rPr>
                  <m:nor/>
                  <m:sty m:val="p"/>
                </m:rPr>
                <m:t>OrbRef</m:t>
              </m:r>
              <m:r>
                <m:rPr>
                  <m:sty m:val="p"/>
                </m:rPr>
                <m:t>−</m:t>
              </m:r>
              <m:r>
                <m:t>1</m:t>
              </m:r>
            </m:sub>
          </m:sSub>
          <m:r>
            <m:rPr>
              <m:sty m:val="p"/>
            </m:rPr>
            <m:t>=</m:t>
          </m:r>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r>
            <m:t>  </m:t>
          </m:r>
          <m:d>
            <m:dPr>
              <m:begChr m:val="("/>
              <m:sepChr m:val=""/>
              <m:endChr m:val=")"/>
              <m:grow/>
            </m:dPr>
            <m:e>
              <m:r>
                <m:t>4</m:t>
              </m:r>
            </m:e>
          </m:d>
        </m:oMath>
      </m:oMathPara>
      <w:bookmarkEnd w:id="286"/>
    </w:p>
    <w:p>
      <w:pPr>
        <w:pStyle w:val="FirstParagraph"/>
      </w:pPr>
      <w:bookmarkStart w:id="287" w:name="eq:sar-topographic-phase-removal-eq5"/>
      <m:oMathPara>
        <m:oMathParaPr>
          <m:jc m:val="center"/>
        </m:oMathParaPr>
        <m:oMath>
          <m:sSub>
            <m:e>
              <m:r>
                <m:t>φ</m:t>
              </m:r>
            </m:e>
            <m:sub>
              <m:r>
                <m:rPr>
                  <m:nor/>
                  <m:sty m:val="p"/>
                </m:rPr>
                <m:t>Flattened</m:t>
              </m:r>
              <m:r>
                <m:rPr>
                  <m:sty m:val="p"/>
                </m:rPr>
                <m:t>_</m:t>
              </m:r>
              <m:r>
                <m:rPr>
                  <m:nor/>
                  <m:sty m:val="p"/>
                </m:rPr>
                <m:t>GSLC</m:t>
              </m:r>
              <m:r>
                <m:rPr>
                  <m:sty m:val="p"/>
                </m:rPr>
                <m:t>_</m:t>
              </m:r>
              <m:r>
                <m:t>2</m:t>
              </m:r>
            </m:sub>
          </m:sSub>
          <m:r>
            <m:rPr>
              <m:sty m:val="p"/>
            </m:rPr>
            <m:t>=</m:t>
          </m:r>
          <m:sSub>
            <m:e>
              <m:r>
                <m:t>φ</m:t>
              </m:r>
            </m:e>
            <m:sub>
              <m:r>
                <m:rPr>
                  <m:nor/>
                  <m:sty m:val="p"/>
                </m:rPr>
                <m:t>SLC</m:t>
              </m:r>
              <m:r>
                <m:rPr>
                  <m:sty m:val="p"/>
                </m:rPr>
                <m:t>_</m:t>
              </m:r>
              <m:r>
                <m:t>2</m:t>
              </m:r>
            </m:sub>
          </m:sSub>
          <m:r>
            <m:rPr>
              <m:sty m:val="p"/>
            </m:rPr>
            <m:t>−</m:t>
          </m:r>
          <m:r>
            <m:t>Δ</m:t>
          </m:r>
          <m:sSub>
            <m:e>
              <m:r>
                <m:t>φ</m:t>
              </m:r>
            </m:e>
            <m:sub>
              <m:r>
                <m:rPr>
                  <m:nor/>
                  <m:sty m:val="p"/>
                </m:rPr>
                <m:t>Topo</m:t>
              </m:r>
              <m:r>
                <m:rPr>
                  <m:sty m:val="p"/>
                </m:rPr>
                <m:t>_</m:t>
              </m:r>
              <m:r>
                <m:rPr>
                  <m:nor/>
                  <m:sty m:val="p"/>
                </m:rPr>
                <m:t>OrbRef</m:t>
              </m:r>
              <m:r>
                <m:rPr>
                  <m:sty m:val="p"/>
                </m:rPr>
                <m:t>−</m:t>
              </m:r>
              <m:r>
                <m:t>2</m:t>
              </m:r>
            </m:sub>
          </m:sSub>
          <m:r>
            <m:rPr>
              <m:sty m:val="p"/>
            </m:rPr>
            <m:t>=</m:t>
          </m:r>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r>
            <m:t>  </m:t>
          </m:r>
          <m:d>
            <m:dPr>
              <m:begChr m:val="("/>
              <m:sepChr m:val=""/>
              <m:endChr m:val=")"/>
              <m:grow/>
            </m:dPr>
            <m:e>
              <m:r>
                <m:t>5</m:t>
              </m:r>
            </m:e>
          </m:d>
        </m:oMath>
      </m:oMathPara>
      <w:bookmarkEnd w:id="287"/>
    </w:p>
    <w:p>
      <w:pPr>
        <w:pStyle w:val="FirstParagraph"/>
      </w:pPr>
      <w:r>
        <w:t xml:space="preserve">The differential phase is</w:t>
      </w:r>
    </w:p>
    <w:p>
      <w:pPr>
        <w:pStyle w:val="Textkrper"/>
      </w:pPr>
      <w:bookmarkStart w:id="288" w:name="eq:sar-topographic-phase-removal-eq6"/>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sSub>
            <m:e>
              <m:r>
                <m:t>φ</m:t>
              </m:r>
            </m:e>
            <m:sub>
              <m:r>
                <m:rPr>
                  <m:nor/>
                  <m:sty m:val="p"/>
                </m:rPr>
                <m:t>Flattened</m:t>
              </m:r>
              <m:r>
                <m:rPr>
                  <m:sty m:val="p"/>
                </m:rPr>
                <m:t>_</m:t>
              </m:r>
              <m:r>
                <m:rPr>
                  <m:nor/>
                  <m:sty m:val="p"/>
                </m:rPr>
                <m:t>GSLC</m:t>
              </m:r>
              <m:r>
                <m:rPr>
                  <m:sty m:val="p"/>
                </m:rPr>
                <m:t>_</m:t>
              </m:r>
              <m:r>
                <m:t>1</m:t>
              </m:r>
            </m:sub>
          </m:sSub>
          <m:r>
            <m:rPr>
              <m:sty m:val="p"/>
            </m:rPr>
            <m:t>−</m:t>
          </m:r>
          <m:sSub>
            <m:e>
              <m:r>
                <m:t>φ</m:t>
              </m:r>
            </m:e>
            <m:sub>
              <m:r>
                <m:rPr>
                  <m:nor/>
                  <m:sty m:val="p"/>
                </m:rPr>
                <m:t>Flattened</m:t>
              </m:r>
              <m:r>
                <m:rPr>
                  <m:sty m:val="p"/>
                </m:rPr>
                <m:t>_</m:t>
              </m:r>
              <m:r>
                <m:rPr>
                  <m:nor/>
                  <m:sty m:val="p"/>
                </m:rPr>
                <m:t>GSLC</m:t>
              </m:r>
              <m:r>
                <m:rPr>
                  <m:sty m:val="p"/>
                </m:rPr>
                <m:t>_</m:t>
              </m:r>
              <m:r>
                <m:t>2</m:t>
              </m:r>
            </m:sub>
          </m:sSub>
          <m:r>
            <m:t>  </m:t>
          </m:r>
          <m:d>
            <m:dPr>
              <m:begChr m:val="("/>
              <m:sepChr m:val=""/>
              <m:endChr m:val=")"/>
              <m:grow/>
            </m:dPr>
            <m:e>
              <m:r>
                <m:t>6</m:t>
              </m:r>
            </m:e>
          </m:d>
        </m:oMath>
      </m:oMathPara>
      <w:bookmarkEnd w:id="288"/>
    </w:p>
    <w:p>
      <w:pPr>
        <w:pStyle w:val="FirstParagraph"/>
      </w:pPr>
      <w:r>
        <w:t xml:space="preserve">Which can be expanded using (Eq. </w:t>
      </w:r>
      <w:hyperlink w:anchor="eq:sar-topographic-phase-removal-eq3">
        <w:r>
          <w:rPr>
            <w:rStyle w:val="Hyperlink"/>
          </w:rPr>
          <w:t xml:space="preserve">3</w:t>
        </w:r>
      </w:hyperlink>
      <w:r>
        <w:t xml:space="preserve">)</w:t>
      </w:r>
    </w:p>
    <w:p>
      <w:pPr>
        <w:pStyle w:val="Textkrper"/>
      </w:pPr>
      <w:bookmarkStart w:id="289" w:name="eq:sar-topographic-phase-removal-eq7"/>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1</m:t>
                  </m:r>
                </m:sub>
              </m:sSub>
            </m:e>
          </m:d>
          <m:r>
            <m:rPr>
              <m:sty m:val="p"/>
            </m:rPr>
            <m:t>−</m:t>
          </m:r>
          <m:d>
            <m:dPr>
              <m:begChr m:val="("/>
              <m:sepChr m:val=""/>
              <m:endChr m:val=")"/>
              <m:grow/>
            </m:dPr>
            <m:e>
              <m:sSub>
                <m:e>
                  <m:r>
                    <m:t>φ</m:t>
                  </m:r>
                </m:e>
                <m:sub>
                  <m:r>
                    <m:rPr>
                      <m:nor/>
                      <m:sty m:val="p"/>
                    </m:rPr>
                    <m:t>SLC</m:t>
                  </m:r>
                  <m:r>
                    <m:rPr>
                      <m:sty m:val="p"/>
                    </m:rPr>
                    <m:t>_</m:t>
                  </m:r>
                  <m:r>
                    <m:t>2</m:t>
                  </m:r>
                </m:sub>
              </m:sSub>
              <m:r>
                <m:rPr>
                  <m:sty m:val="p"/>
                </m:rPr>
                <m:t>−</m:t>
              </m:r>
              <m:sSub>
                <m:e>
                  <m:r>
                    <m:t>φ</m:t>
                  </m:r>
                </m:e>
                <m:sub>
                  <m:r>
                    <m:rPr>
                      <m:nor/>
                      <m:sty m:val="p"/>
                    </m:rPr>
                    <m:t>DEM</m:t>
                  </m:r>
                  <m:r>
                    <m:rPr>
                      <m:sty m:val="p"/>
                    </m:rPr>
                    <m:t>_</m:t>
                  </m:r>
                  <m:r>
                    <m:rPr>
                      <m:nor/>
                      <m:sty m:val="p"/>
                    </m:rPr>
                    <m:t>OrbRef</m:t>
                  </m:r>
                </m:sub>
              </m:sSub>
              <m:r>
                <m:rPr>
                  <m:sty m:val="p"/>
                </m:rPr>
                <m:t>−</m:t>
              </m:r>
              <m:sSub>
                <m:e>
                  <m:r>
                    <m:t>φ</m:t>
                  </m:r>
                </m:e>
                <m:sub>
                  <m:r>
                    <m:rPr>
                      <m:nor/>
                      <m:sty m:val="p"/>
                    </m:rPr>
                    <m:t>DEM</m:t>
                  </m:r>
                  <m:r>
                    <m:rPr>
                      <m:sty m:val="p"/>
                    </m:rPr>
                    <m:t>_</m:t>
                  </m:r>
                  <m:r>
                    <m:rPr>
                      <m:nor/>
                      <m:sty m:val="p"/>
                    </m:rPr>
                    <m:t>SLC</m:t>
                  </m:r>
                  <m:r>
                    <m:rPr>
                      <m:sty m:val="p"/>
                    </m:rPr>
                    <m:t>_</m:t>
                  </m:r>
                  <m:r>
                    <m:t>2</m:t>
                  </m:r>
                </m:sub>
              </m:sSub>
            </m:e>
          </m:d>
          <m:r>
            <m:t>  </m:t>
          </m:r>
          <m:d>
            <m:dPr>
              <m:begChr m:val="("/>
              <m:sepChr m:val=""/>
              <m:endChr m:val=")"/>
              <m:grow/>
            </m:dPr>
            <m:e>
              <m:r>
                <m:t>7</m:t>
              </m:r>
            </m:e>
          </m:d>
        </m:oMath>
      </m:oMathPara>
      <w:bookmarkEnd w:id="289"/>
    </w:p>
    <w:p>
      <w:pPr>
        <w:pStyle w:val="FirstParagraph"/>
      </w:pPr>
      <w:bookmarkStart w:id="290" w:name="eq:sar-topographic-phase-removal-eq8"/>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sSub>
                <m:e>
                  <m:r>
                    <m:t>φ</m:t>
                  </m:r>
                </m:e>
                <m:sub>
                  <m:r>
                    <m:rPr>
                      <m:nor/>
                      <m:sty m:val="p"/>
                    </m:rPr>
                    <m:t>SLC</m:t>
                  </m:r>
                  <m:r>
                    <m:rPr>
                      <m:sty m:val="p"/>
                    </m:rPr>
                    <m:t>_</m:t>
                  </m:r>
                  <m:r>
                    <m:t>1</m:t>
                  </m:r>
                </m:sub>
              </m:sSub>
              <m:r>
                <m:rPr>
                  <m:sty m:val="p"/>
                </m:rPr>
                <m:t>−</m:t>
              </m:r>
              <m:sSub>
                <m:e>
                  <m:r>
                    <m:t>φ</m:t>
                  </m:r>
                </m:e>
                <m:sub>
                  <m:r>
                    <m:rPr>
                      <m:nor/>
                      <m:sty m:val="p"/>
                    </m:rPr>
                    <m:t>SLC</m:t>
                  </m:r>
                  <m:r>
                    <m:rPr>
                      <m:sty m:val="p"/>
                    </m:rPr>
                    <m:t>_</m:t>
                  </m:r>
                  <m:r>
                    <m:t>2</m:t>
                  </m:r>
                </m:sub>
              </m:sSub>
            </m:e>
          </m:d>
          <m:r>
            <m:rPr>
              <m:sty m:val="p"/>
            </m:rPr>
            <m:t>−</m:t>
          </m:r>
          <m:d>
            <m:dPr>
              <m:begChr m:val="("/>
              <m:sepChr m:val=""/>
              <m:endChr m:val=")"/>
              <m:grow/>
            </m:dPr>
            <m:e>
              <m:sSub>
                <m:e>
                  <m:r>
                    <m:t>φ</m:t>
                  </m:r>
                </m:e>
                <m:sub>
                  <m:r>
                    <m:rPr>
                      <m:nor/>
                      <m:sty m:val="p"/>
                    </m:rPr>
                    <m:t>DEM</m:t>
                  </m:r>
                  <m:r>
                    <m:rPr>
                      <m:sty m:val="p"/>
                    </m:rPr>
                    <m:t>_</m:t>
                  </m:r>
                  <m:r>
                    <m:rPr>
                      <m:nor/>
                      <m:sty m:val="p"/>
                    </m:rPr>
                    <m:t>SLC</m:t>
                  </m:r>
                  <m:r>
                    <m:rPr>
                      <m:sty m:val="p"/>
                    </m:rPr>
                    <m:t>_</m:t>
                  </m:r>
                  <m:r>
                    <m:t>1</m:t>
                  </m:r>
                </m:sub>
              </m:sSub>
            </m:e>
          </m:d>
          <m:r>
            <m:rPr>
              <m:sty m:val="p"/>
            </m:rPr>
            <m:t>−</m:t>
          </m:r>
          <m:sSub>
            <m:e>
              <m:r>
                <m:t>φ</m:t>
              </m:r>
            </m:e>
            <m:sub>
              <m:r>
                <m:rPr>
                  <m:nor/>
                  <m:sty m:val="p"/>
                </m:rPr>
                <m:t>DEM</m:t>
              </m:r>
              <m:r>
                <m:rPr>
                  <m:sty m:val="p"/>
                </m:rPr>
                <m:t>_</m:t>
              </m:r>
              <m:r>
                <m:rPr>
                  <m:nor/>
                  <m:sty m:val="p"/>
                </m:rPr>
                <m:t>SLC</m:t>
              </m:r>
              <m:r>
                <m:rPr>
                  <m:sty m:val="p"/>
                </m:rPr>
                <m:t>_</m:t>
              </m:r>
              <m:r>
                <m:t>2</m:t>
              </m:r>
            </m:sub>
          </m:sSub>
          <m:r>
            <m:rPr>
              <m:sty m:val="p"/>
            </m:rPr>
            <m:t>)</m:t>
          </m:r>
          <m:r>
            <m:t>  </m:t>
          </m:r>
          <m:d>
            <m:dPr>
              <m:begChr m:val="("/>
              <m:sepChr m:val=""/>
              <m:endChr m:val=")"/>
              <m:grow/>
            </m:dPr>
            <m:e>
              <m:r>
                <m:t>8</m:t>
              </m:r>
            </m:e>
          </m:d>
        </m:oMath>
      </m:oMathPara>
      <w:bookmarkEnd w:id="290"/>
    </w:p>
    <w:p>
      <w:pPr>
        <w:pStyle w:val="FirstParagraph"/>
      </w:pPr>
      <w:bookmarkStart w:id="291" w:name="eq:sar-topographic-phase-removal-eq9"/>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SLC</m:t>
              </m:r>
              <m:r>
                <m:rPr>
                  <m:sty m:val="p"/>
                </m:rPr>
                <m:t>_</m:t>
              </m:r>
              <m:r>
                <m:t>1</m:t>
              </m:r>
              <m:r>
                <m:rPr>
                  <m:sty m:val="p"/>
                </m:rPr>
                <m:t>−</m:t>
              </m:r>
              <m:r>
                <m:rPr>
                  <m:nor/>
                  <m:sty m:val="p"/>
                </m:rPr>
                <m:t>SLC</m:t>
              </m:r>
              <m:r>
                <m:rPr>
                  <m:sty m:val="p"/>
                </m:rPr>
                <m:t>_</m:t>
              </m:r>
              <m:r>
                <m:t>2</m:t>
              </m:r>
            </m:sub>
          </m:sSub>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9</m:t>
              </m:r>
            </m:e>
          </m:d>
        </m:oMath>
      </m:oMathPara>
      <w:bookmarkEnd w:id="291"/>
    </w:p>
    <w:p>
      <w:pPr>
        <w:pStyle w:val="FirstParagraph"/>
      </w:pPr>
      <w:r>
        <w:t xml:space="preserve">Where</w:t>
      </w:r>
      <w:r>
        <w:t xml:space="preserve"> </w:t>
      </w:r>
      <m:oMath>
        <m:r>
          <m:t>Δ</m:t>
        </m:r>
        <m:sSub>
          <m:e>
            <m:r>
              <m:t>φ</m:t>
            </m:r>
          </m:e>
          <m:sub>
            <m:r>
              <m:rPr>
                <m:nor/>
                <m:sty m:val="p"/>
              </m:rPr>
              <m:t>SLC</m:t>
            </m:r>
            <m:r>
              <m:rPr>
                <m:sty m:val="p"/>
              </m:rPr>
              <m:t>_</m:t>
            </m:r>
            <m:r>
              <m:t>1</m:t>
            </m:r>
            <m:r>
              <m:rPr>
                <m:sty m:val="p"/>
              </m:rPr>
              <m:t>−</m:t>
            </m:r>
            <m:r>
              <m:rPr>
                <m:nor/>
                <m:sty m:val="p"/>
              </m:rPr>
              <m:t>SLC</m:t>
            </m:r>
            <m:r>
              <m:rPr>
                <m:sty m:val="p"/>
              </m:rPr>
              <m:t>_</m:t>
            </m:r>
            <m:r>
              <m:t>2</m:t>
            </m:r>
          </m:sub>
        </m:sSub>
      </m:oMath>
      <w:r>
        <w:t xml:space="preserve"> </w:t>
      </w:r>
      <w:r>
        <w:t xml:space="preserve">can be express as Eq. </w:t>
      </w:r>
      <w:hyperlink w:anchor="eq:sar-topographic-phase-removal-eq1">
        <w:r>
          <w:rPr>
            <w:rStyle w:val="Hyperlink"/>
          </w:rPr>
          <w:t xml:space="preserve">1</w:t>
        </w:r>
      </w:hyperlink>
      <w:r>
        <w:t xml:space="preserve">, which gives</w:t>
      </w:r>
    </w:p>
    <w:p>
      <w:pPr>
        <w:pStyle w:val="Textkrper"/>
      </w:pPr>
      <w:bookmarkStart w:id="292" w:name="eq:sar-topographic-phase-removal-eq10"/>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d>
            <m:dPr>
              <m:begChr m:val="("/>
              <m:sepChr m:val=""/>
              <m:endChr m:val=")"/>
              <m:grow/>
            </m:dPr>
            <m:e>
              <m:r>
                <m:t>Δ</m:t>
              </m:r>
              <m:sSub>
                <m:e>
                  <m:r>
                    <m:t>φ</m:t>
                  </m:r>
                </m:e>
                <m:sub>
                  <m:r>
                    <m:rPr>
                      <m:nor/>
                      <m:sty m:val="p"/>
                    </m:rPr>
                    <m:t>Topo</m:t>
                  </m:r>
                  <m:r>
                    <m:rPr>
                      <m:sty m:val="p"/>
                    </m:rPr>
                    <m:t>_</m:t>
                  </m:r>
                  <m:r>
                    <m:t>1</m:t>
                  </m:r>
                  <m:r>
                    <m:rPr>
                      <m:sty m:val="p"/>
                    </m:rPr>
                    <m:t>−</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e>
          </m:d>
          <m:r>
            <m:rPr>
              <m:sty m:val="p"/>
            </m:rPr>
            <m:t>−</m:t>
          </m:r>
          <m:r>
            <m:t>Δ</m:t>
          </m:r>
          <m:sSub>
            <m:e>
              <m:r>
                <m:t>φ</m:t>
              </m:r>
            </m:e>
            <m:sub>
              <m:r>
                <m:rPr>
                  <m:nor/>
                  <m:sty m:val="p"/>
                </m:rPr>
                <m:t>Topo</m:t>
              </m:r>
              <m:r>
                <m:rPr>
                  <m:sty m:val="p"/>
                </m:rPr>
                <m:t>_</m:t>
              </m:r>
              <m:r>
                <m:t>1</m:t>
              </m:r>
              <m:r>
                <m:rPr>
                  <m:sty m:val="p"/>
                </m:rPr>
                <m:t>−</m:t>
              </m:r>
              <m:r>
                <m:t>2</m:t>
              </m:r>
            </m:sub>
          </m:sSub>
          <m:r>
            <m:t>  </m:t>
          </m:r>
          <m:d>
            <m:dPr>
              <m:begChr m:val="("/>
              <m:sepChr m:val=""/>
              <m:endChr m:val=")"/>
              <m:grow/>
            </m:dPr>
            <m:e>
              <m:r>
                <m:t>10</m:t>
              </m:r>
            </m:e>
          </m:d>
        </m:oMath>
      </m:oMathPara>
      <w:bookmarkEnd w:id="292"/>
    </w:p>
    <w:p>
      <w:pPr>
        <w:pStyle w:val="FirstParagraph"/>
      </w:pPr>
      <w:r>
        <w:t xml:space="preserve">Consequently, the differential phase of two CEOS-ARD products doesn’t contain a topographic phase and is already unwrapped (at least over stable areas). It is only function of the surface displacement and of the noise term. Depending on the reference DEM and the satellite orbital state vector accuracies, some residual topographic phase could be present. Atmospheric (item 2.15) and ionospheric (item 2.16) phase corrections could be performed during the production of CEOS-ARD products, which reduces the differential phase noise in an InSAR analysis.</w:t>
      </w:r>
    </w:p>
    <w:p>
      <w:pPr>
        <w:pStyle w:val="Textkrper"/>
      </w:pPr>
      <w:bookmarkStart w:id="293" w:name="eq:sar-topographic-phase-removal-eq11"/>
      <m:oMathPara>
        <m:oMathParaPr>
          <m:jc m:val="center"/>
        </m:oMathParaPr>
        <m:oMath>
          <m:r>
            <m:t>Δ</m:t>
          </m:r>
          <m:sSub>
            <m:e>
              <m:r>
                <m:t>φ</m:t>
              </m:r>
            </m:e>
            <m:sub>
              <m:r>
                <m:rPr>
                  <m:nor/>
                  <m:sty m:val="p"/>
                </m:rPr>
                <m:t>CARD</m:t>
              </m:r>
              <m:r>
                <m:rPr>
                  <m:sty m:val="p"/>
                </m:rPr>
                <m:t>_</m:t>
              </m:r>
              <m:r>
                <m:t>1</m:t>
              </m:r>
              <m:r>
                <m:rPr>
                  <m:sty m:val="p"/>
                </m:rPr>
                <m:t>−</m:t>
              </m:r>
              <m:r>
                <m:rPr>
                  <m:nor/>
                  <m:sty m:val="p"/>
                </m:rPr>
                <m:t>CARD</m:t>
              </m:r>
              <m:r>
                <m:rPr>
                  <m:sty m:val="p"/>
                </m:rPr>
                <m:t>_</m:t>
              </m:r>
              <m:r>
                <m:t>2</m:t>
              </m:r>
            </m:sub>
          </m:sSub>
          <m:r>
            <m:rPr>
              <m:sty m:val="p"/>
            </m:rPr>
            <m:t>=</m:t>
          </m:r>
          <m:r>
            <m:t>Δ</m:t>
          </m:r>
          <m:sSub>
            <m:e>
              <m:r>
                <m:t>φ</m:t>
              </m:r>
            </m:e>
            <m:sub>
              <m:r>
                <m:rPr>
                  <m:nor/>
                  <m:sty m:val="p"/>
                </m:rPr>
                <m:t>Disp</m:t>
              </m:r>
              <m:r>
                <m:rPr>
                  <m:sty m:val="p"/>
                </m:rPr>
                <m:t>_</m:t>
              </m:r>
              <m:r>
                <m:t>1</m:t>
              </m:r>
              <m:r>
                <m:rPr>
                  <m:sty m:val="p"/>
                </m:rPr>
                <m:t>−</m:t>
              </m:r>
              <m:r>
                <m:t>2</m:t>
              </m:r>
            </m:sub>
          </m:sSub>
          <m:r>
            <m:rPr>
              <m:sty m:val="p"/>
            </m:rPr>
            <m:t>+</m:t>
          </m:r>
          <m:r>
            <m:t>Δ</m:t>
          </m:r>
          <m:sSub>
            <m:e>
              <m:r>
                <m:t>φ</m:t>
              </m:r>
            </m:e>
            <m:sub>
              <m:r>
                <m:rPr>
                  <m:nor/>
                  <m:sty m:val="p"/>
                </m:rPr>
                <m:t>Noise</m:t>
              </m:r>
              <m:r>
                <m:rPr>
                  <m:sty m:val="p"/>
                </m:rPr>
                <m:t>_</m:t>
              </m:r>
              <m:r>
                <m:t>1</m:t>
              </m:r>
              <m:r>
                <m:rPr>
                  <m:sty m:val="p"/>
                </m:rPr>
                <m:t>−</m:t>
              </m:r>
              <m:r>
                <m:t>2</m:t>
              </m:r>
            </m:sub>
          </m:sSub>
          <m:r>
            <m:rPr>
              <m:sty m:val="p"/>
            </m:rPr>
            <m:t>)</m:t>
          </m:r>
          <m:r>
            <m:t>  </m:t>
          </m:r>
          <m:d>
            <m:dPr>
              <m:begChr m:val="("/>
              <m:sepChr m:val=""/>
              <m:endChr m:val=")"/>
              <m:grow/>
            </m:dPr>
            <m:e>
              <m:r>
                <m:t>11</m:t>
              </m:r>
            </m:e>
          </m:d>
        </m:oMath>
      </m:oMathPara>
      <w:bookmarkEnd w:id="293"/>
    </w:p>
    <w:bookmarkEnd w:id="294"/>
    <w:bookmarkStart w:id="301" w:name="sec:annex-sar-pol-covmat"/>
    <w:p>
      <w:pPr>
        <w:pStyle w:val="berschrift3"/>
      </w:pPr>
      <w:r>
        <w:t xml:space="preserve">Normalised Covariance Matrices (CovMat)</w:t>
      </w:r>
    </w:p>
    <w:p>
      <w:pPr>
        <w:pStyle w:val="FirstParagraph"/>
      </w:pPr>
      <w:r>
        <w:t xml:space="preserve">In order to preserve the inter-channel polarimetric phase and thus the full information content of coherent dual-pol and fully polarimetric data, the covariance matrix is proposed as the data storage format. Covariance matrices are generated from the complex cross product of polarimetric channels, as shown in Eq. </w:t>
      </w:r>
      <w:hyperlink w:anchor="eq:sar-pol-covmat-eq1">
        <w:r>
          <w:rPr>
            <w:rStyle w:val="Hyperlink"/>
          </w:rPr>
          <w:t xml:space="preserve">12</w:t>
        </w:r>
      </w:hyperlink>
      <w:r>
        <w:t xml:space="preserve"> </w:t>
      </w:r>
      <w:r>
        <w:t xml:space="preserve">for fully polarimetric data (C3) and in Eq. </w:t>
      </w:r>
      <w:hyperlink w:anchor="eq:sar-pol-covmat-eq3">
        <w:r>
          <w:rPr>
            <w:rStyle w:val="Hyperlink"/>
          </w:rPr>
          <w:t xml:space="preserve">14</w:t>
        </w:r>
      </w:hyperlink>
      <w:r>
        <w:t xml:space="preserve"> </w:t>
      </w:r>
      <w:r>
        <w:t xml:space="preserve">for dual polarization data (C2). Since these matrices are complex symmetrical, only the upper diagonal elements (bold elements) need to be stored in the ARD database.</w:t>
      </w:r>
    </w:p>
    <w:p>
      <w:pPr>
        <w:pStyle w:val="Textkrper"/>
      </w:pPr>
      <w:r>
        <w:rPr>
          <w:b/>
          <w:bCs/>
        </w:rPr>
        <w:t xml:space="preserve">Fully polarimetric</w:t>
      </w:r>
    </w:p>
    <w:p>
      <w:pPr>
        <w:pStyle w:val="Textkrper"/>
      </w:pPr>
      <w:bookmarkStart w:id="295" w:name="eq:sar-pol-covmat-eq1"/>
      <m:oMathPara>
        <m:oMathParaPr>
          <m:jc m:val="center"/>
        </m:oMathParaPr>
        <m:oMath>
          <m:r>
            <m:t>C</m:t>
          </m:r>
          <m:r>
            <m:t>3</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ad>
                      <m:radPr>
                        <m:degHide m:val="on"/>
                      </m:radPr>
                      <m:deg/>
                      <m:e>
                        <m:r>
                          <m:t>2</m:t>
                        </m:r>
                      </m:e>
                    </m:rad>
                    <m:r>
                      <m:rPr>
                        <m:sty m:val="p"/>
                      </m:rPr>
                      <m:t>⋅</m:t>
                    </m:r>
                    <m:r>
                      <m:rPr>
                        <m:sty m:val="b"/>
                      </m:rPr>
                      <m:t>H</m:t>
                    </m:r>
                    <m:r>
                      <m:rPr>
                        <m:sty m:val="b"/>
                      </m:rPr>
                      <m:t>H</m:t>
                    </m:r>
                    <m:r>
                      <m:rPr>
                        <m:sty m:val="p"/>
                      </m:rPr>
                      <m:t>⋅</m:t>
                    </m:r>
                    <m:r>
                      <m:rPr>
                        <m:sty m:val="b"/>
                      </m:rPr>
                      <m:t>H</m:t>
                    </m:r>
                    <m:sSup>
                      <m:e>
                        <m:r>
                          <m:rPr>
                            <m:sty m:val="b"/>
                          </m:rPr>
                          <m:t>V</m:t>
                        </m:r>
                      </m:e>
                      <m:sup>
                        <m:r>
                          <m:rPr>
                            <m:sty m:val="p"/>
                          </m:rPr>
                          <m:t>*</m:t>
                        </m:r>
                      </m:sup>
                    </m:sSup>
                  </m:e>
                  <m:e>
                    <m:r>
                      <m:rPr>
                        <m:sty m:val="b"/>
                      </m:rPr>
                      <m:t>H</m:t>
                    </m:r>
                    <m:r>
                      <m:rPr>
                        <m:sty m:val="b"/>
                      </m:rPr>
                      <m:t>H</m:t>
                    </m:r>
                    <m:r>
                      <m:rPr>
                        <m:sty m:val="p"/>
                      </m:rPr>
                      <m:t>⋅</m:t>
                    </m:r>
                    <m:r>
                      <m:rPr>
                        <m:sty m:val="b"/>
                      </m:rPr>
                      <m:t>V</m:t>
                    </m:r>
                    <m:sSup>
                      <m:e>
                        <m:r>
                          <m:rPr>
                            <m:sty m:val="b"/>
                          </m:rPr>
                          <m:t>V</m:t>
                        </m:r>
                      </m:e>
                      <m:sup>
                        <m:r>
                          <m:rPr>
                            <m:sty m:val="p"/>
                          </m:rPr>
                          <m:t>*</m:t>
                        </m:r>
                      </m:sup>
                    </m:sSup>
                  </m:e>
                </m:mr>
                <m:mr>
                  <m:e>
                    <m:rad>
                      <m:radPr>
                        <m:degHide m:val="on"/>
                      </m:radPr>
                      <m:deg/>
                      <m:e>
                        <m:r>
                          <m:t>2</m:t>
                        </m:r>
                      </m:e>
                    </m:rad>
                    <m:r>
                      <m:rPr>
                        <m:sty m:val="p"/>
                      </m:rPr>
                      <m:t>⋅</m:t>
                    </m:r>
                    <m:r>
                      <m:t>H</m:t>
                    </m:r>
                    <m:r>
                      <m:t>V</m:t>
                    </m:r>
                    <m:r>
                      <m:rPr>
                        <m:sty m:val="p"/>
                      </m:rPr>
                      <m:t>⋅</m:t>
                    </m:r>
                    <m:r>
                      <m:t>H</m:t>
                    </m:r>
                    <m:sSup>
                      <m:e>
                        <m:r>
                          <m:t>H</m:t>
                        </m:r>
                      </m:e>
                      <m:sup>
                        <m:r>
                          <m:rPr>
                            <m:sty m:val="p"/>
                          </m:rPr>
                          <m:t>*</m:t>
                        </m:r>
                      </m:sup>
                    </m:sSup>
                  </m:e>
                  <m:e>
                    <m:r>
                      <m:t>2</m:t>
                    </m:r>
                    <m:r>
                      <m:rPr>
                        <m:sty m:val="p"/>
                      </m:rPr>
                      <m:t>⋅</m:t>
                    </m:r>
                    <m:sSup>
                      <m:e>
                        <m:d>
                          <m:dPr>
                            <m:begChr m:val="|"/>
                            <m:sepChr m:val=""/>
                            <m:endChr m:val="|"/>
                            <m:grow/>
                          </m:dPr>
                          <m:e>
                            <m:r>
                              <m:rPr>
                                <m:sty m:val="b"/>
                              </m:rPr>
                              <m:t>H</m:t>
                            </m:r>
                            <m:r>
                              <m:rPr>
                                <m:sty m:val="b"/>
                              </m:rPr>
                              <m:t>V</m:t>
                            </m:r>
                          </m:e>
                        </m:d>
                      </m:e>
                      <m:sup>
                        <m:r>
                          <m:t>2</m:t>
                        </m:r>
                      </m:sup>
                    </m:sSup>
                  </m:e>
                  <m:e>
                    <m:rad>
                      <m:radPr>
                        <m:degHide m:val="on"/>
                      </m:radPr>
                      <m:deg/>
                      <m:e>
                        <m:r>
                          <m:t>2</m:t>
                        </m:r>
                      </m:e>
                    </m:rad>
                    <m:r>
                      <m:rPr>
                        <m:sty m:val="p"/>
                      </m:rPr>
                      <m:t>⋅</m:t>
                    </m:r>
                    <m:r>
                      <m:rPr>
                        <m:sty m:val="b"/>
                      </m:rPr>
                      <m:t>H</m:t>
                    </m:r>
                    <m:r>
                      <m:rPr>
                        <m:sty m:val="b"/>
                      </m:rPr>
                      <m:t>V</m:t>
                    </m:r>
                    <m:r>
                      <m:rPr>
                        <m:sty m:val="p"/>
                      </m:rPr>
                      <m:t>⋅</m:t>
                    </m:r>
                    <m:r>
                      <m:rPr>
                        <m:sty m:val="b"/>
                      </m:rPr>
                      <m:t>H</m:t>
                    </m:r>
                    <m:sSup>
                      <m:e>
                        <m:r>
                          <m:rPr>
                            <m:sty m:val="b"/>
                          </m:rPr>
                          <m:t>V</m:t>
                        </m:r>
                      </m:e>
                      <m:sup>
                        <m:r>
                          <m:rPr>
                            <m:sty m:val="p"/>
                          </m:rPr>
                          <m:t>*</m:t>
                        </m:r>
                      </m:sup>
                    </m:sSup>
                  </m:e>
                </m:mr>
                <m:mr>
                  <m:e>
                    <m:r>
                      <m:t>V</m:t>
                    </m:r>
                    <m:r>
                      <m:t>V</m:t>
                    </m:r>
                    <m:r>
                      <m:rPr>
                        <m:sty m:val="p"/>
                      </m:rPr>
                      <m:t>⋅</m:t>
                    </m:r>
                    <m:r>
                      <m:t>H</m:t>
                    </m:r>
                    <m:sSup>
                      <m:e>
                        <m:r>
                          <m:t>H</m:t>
                        </m:r>
                      </m:e>
                      <m:sup>
                        <m:r>
                          <m:rPr>
                            <m:sty m:val="p"/>
                          </m:rPr>
                          <m:t>*</m:t>
                        </m:r>
                      </m:sup>
                    </m:sSup>
                  </m:e>
                  <m:e>
                    <m:rad>
                      <m:radPr>
                        <m:degHide m:val="on"/>
                      </m:radPr>
                      <m:deg/>
                      <m:e>
                        <m:r>
                          <m:t>2</m:t>
                        </m:r>
                      </m:e>
                    </m:rad>
                    <m:r>
                      <m:rPr>
                        <m:sty m:val="p"/>
                      </m:rPr>
                      <m:t>⋅</m:t>
                    </m:r>
                    <m:r>
                      <m:t>V</m:t>
                    </m:r>
                    <m:r>
                      <m:t>V</m:t>
                    </m:r>
                    <m:r>
                      <m:rPr>
                        <m:sty m:val="p"/>
                      </m:rPr>
                      <m:t>⋅</m:t>
                    </m:r>
                    <m:r>
                      <m:t>H</m:t>
                    </m:r>
                    <m:sSup>
                      <m:e>
                        <m:r>
                          <m:t>V</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12</m:t>
              </m:r>
            </m:e>
          </m:d>
        </m:oMath>
      </m:oMathPara>
      <w:bookmarkEnd w:id="295"/>
    </w:p>
    <w:p>
      <w:pPr>
        <w:pStyle w:val="FirstParagraph"/>
      </w:pPr>
      <w:r>
        <w:t xml:space="preserve">Where HV = VH, under the reciprocity assumption. | | and * mean respectively complex modulus and the complex conjugate.</w:t>
      </w:r>
    </w:p>
    <w:p>
      <w:pPr>
        <w:pStyle w:val="Textkrper"/>
      </w:pPr>
      <w:r>
        <w:rPr>
          <w:b/>
          <w:bCs/>
        </w:rPr>
        <w:t xml:space="preserve">Dual polarization</w:t>
      </w:r>
    </w:p>
    <w:p>
      <w:pPr>
        <w:pStyle w:val="Textkrper"/>
      </w:pPr>
      <w:bookmarkStart w:id="296" w:name="eq:sar-pol-covmat-eq2"/>
      <m:oMathPara>
        <m:oMathParaPr>
          <m:jc m:val="center"/>
        </m:oMathParaPr>
        <m:oMath>
          <m:r>
            <m:rPr>
              <m:nor/>
              <m:sty m:val="p"/>
            </m:rPr>
            <m:t>HH-HV: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H</m:t>
                            </m:r>
                            <m:r>
                              <m:rPr>
                                <m:sty m:val="b"/>
                              </m:rPr>
                              <m:t>H</m:t>
                            </m:r>
                          </m:e>
                        </m:d>
                      </m:e>
                      <m:sup>
                        <m:r>
                          <m:t>2</m:t>
                        </m:r>
                      </m:sup>
                    </m:sSup>
                  </m:e>
                  <m:e>
                    <m:r>
                      <m:rPr>
                        <m:sty m:val="b"/>
                      </m:rPr>
                      <m:t>H</m:t>
                    </m:r>
                    <m:r>
                      <m:rPr>
                        <m:sty m:val="b"/>
                      </m:rPr>
                      <m:t>H</m:t>
                    </m:r>
                    <m:r>
                      <m:rPr>
                        <m:sty m:val="p"/>
                      </m:rPr>
                      <m:t>⋅</m:t>
                    </m:r>
                    <m:r>
                      <m:rPr>
                        <m:sty m:val="b"/>
                      </m:rPr>
                      <m:t>H</m:t>
                    </m:r>
                    <m:sSup>
                      <m:e>
                        <m:r>
                          <m:rPr>
                            <m:sty m:val="b"/>
                          </m:rPr>
                          <m:t>V</m:t>
                        </m:r>
                      </m:e>
                      <m:sup>
                        <m:r>
                          <m:rPr>
                            <m:sty m:val="p"/>
                          </m:rPr>
                          <m:t>*</m:t>
                        </m:r>
                      </m:sup>
                    </m:sSup>
                  </m:e>
                </m:mr>
                <m:mr>
                  <m:e>
                    <m:r>
                      <m:t>H</m:t>
                    </m:r>
                    <m:r>
                      <m:t>V</m:t>
                    </m:r>
                    <m:r>
                      <m:rPr>
                        <m:sty m:val="p"/>
                      </m:rPr>
                      <m:t>⋅</m:t>
                    </m:r>
                    <m:r>
                      <m:t>H</m:t>
                    </m:r>
                    <m:sSup>
                      <m:e>
                        <m:r>
                          <m:t>H</m:t>
                        </m:r>
                      </m:e>
                      <m:sup>
                        <m:r>
                          <m:rPr>
                            <m:sty m:val="p"/>
                          </m:rPr>
                          <m:t>*</m:t>
                        </m:r>
                      </m:sup>
                    </m:sSup>
                  </m:e>
                  <m:e>
                    <m:sSup>
                      <m:e>
                        <m:d>
                          <m:dPr>
                            <m:begChr m:val="|"/>
                            <m:sepChr m:val=""/>
                            <m:endChr m:val="|"/>
                            <m:grow/>
                          </m:dPr>
                          <m:e>
                            <m:r>
                              <m:rPr>
                                <m:sty m:val="b"/>
                              </m:rPr>
                              <m:t>H</m:t>
                            </m:r>
                            <m:r>
                              <m:rPr>
                                <m:sty m:val="b"/>
                              </m:rPr>
                              <m:t>V</m:t>
                            </m:r>
                          </m:e>
                        </m:d>
                      </m:e>
                      <m:sup>
                        <m:r>
                          <m:t>2</m:t>
                        </m:r>
                      </m:sup>
                    </m:sSup>
                  </m:e>
                </m:mr>
              </m:m>
            </m:e>
          </m:d>
          <m:r>
            <m:t>  </m:t>
          </m:r>
          <m:d>
            <m:dPr>
              <m:begChr m:val="("/>
              <m:sepChr m:val=""/>
              <m:endChr m:val=")"/>
              <m:grow/>
            </m:dPr>
            <m:e>
              <m:r>
                <m:t>13</m:t>
              </m:r>
            </m:e>
          </m:d>
        </m:oMath>
      </m:oMathPara>
      <w:bookmarkEnd w:id="296"/>
    </w:p>
    <w:p>
      <w:pPr>
        <w:pStyle w:val="FirstParagraph"/>
      </w:pPr>
      <w:bookmarkStart w:id="297" w:name="eq:sar-pol-covmat-eq3"/>
      <m:oMathPara>
        <m:oMathParaPr>
          <m:jc m:val="center"/>
        </m:oMathParaPr>
        <m:oMath>
          <m:r>
            <m:rPr>
              <m:nor/>
              <m:sty m:val="p"/>
            </m:rPr>
            <m:t>VV-VH:</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V</m:t>
                            </m:r>
                            <m:r>
                              <m:rPr>
                                <m:sty m:val="b"/>
                              </m:rPr>
                              <m:t>H</m:t>
                            </m:r>
                          </m:e>
                        </m:d>
                      </m:e>
                      <m:sup>
                        <m:r>
                          <m:t>2</m:t>
                        </m:r>
                      </m:sup>
                    </m:sSup>
                  </m:e>
                  <m:e>
                    <m:r>
                      <m:rPr>
                        <m:sty m:val="b"/>
                      </m:rPr>
                      <m:t>V</m:t>
                    </m:r>
                    <m:r>
                      <m:rPr>
                        <m:sty m:val="b"/>
                      </m:rPr>
                      <m:t>H</m:t>
                    </m:r>
                    <m:r>
                      <m:rPr>
                        <m:sty m:val="p"/>
                      </m:rPr>
                      <m:t>⋅</m:t>
                    </m:r>
                    <m:r>
                      <m:rPr>
                        <m:sty m:val="b"/>
                      </m:rPr>
                      <m:t>V</m:t>
                    </m:r>
                    <m:sSup>
                      <m:e>
                        <m:r>
                          <m:rPr>
                            <m:sty m:val="b"/>
                          </m:rPr>
                          <m:t>H</m:t>
                        </m:r>
                      </m:e>
                      <m:sup>
                        <m:r>
                          <m:rPr>
                            <m:sty m:val="p"/>
                          </m:rPr>
                          <m:t>*</m:t>
                        </m:r>
                      </m:sup>
                    </m:sSup>
                  </m:e>
                </m:mr>
                <m:mr>
                  <m:e>
                    <m:r>
                      <m:t>V</m:t>
                    </m:r>
                    <m:r>
                      <m:t>H</m:t>
                    </m:r>
                    <m:r>
                      <m:rPr>
                        <m:sty m:val="p"/>
                      </m:rPr>
                      <m:t>⋅</m:t>
                    </m:r>
                    <m:r>
                      <m:t>V</m:t>
                    </m:r>
                    <m:sSup>
                      <m:e>
                        <m:r>
                          <m:t>H</m:t>
                        </m:r>
                      </m:e>
                      <m:sup>
                        <m:r>
                          <m:rPr>
                            <m:sty m:val="p"/>
                          </m:rPr>
                          <m:t>*</m:t>
                        </m:r>
                      </m:sup>
                    </m:sSup>
                  </m:e>
                  <m:e>
                    <m:sSup>
                      <m:e>
                        <m:d>
                          <m:dPr>
                            <m:begChr m:val="|"/>
                            <m:sepChr m:val=""/>
                            <m:endChr m:val="|"/>
                            <m:grow/>
                          </m:dPr>
                          <m:e>
                            <m:r>
                              <m:rPr>
                                <m:sty m:val="b"/>
                              </m:rPr>
                              <m:t>V</m:t>
                            </m:r>
                            <m:r>
                              <m:rPr>
                                <m:sty m:val="b"/>
                              </m:rPr>
                              <m:t>V</m:t>
                            </m:r>
                          </m:e>
                        </m:d>
                      </m:e>
                      <m:sup>
                        <m:r>
                          <m:t>2</m:t>
                        </m:r>
                      </m:sup>
                    </m:sSup>
                  </m:e>
                </m:mr>
              </m:m>
            </m:e>
          </m:d>
          <m:r>
            <m:t>  </m:t>
          </m:r>
          <m:d>
            <m:dPr>
              <m:begChr m:val="("/>
              <m:sepChr m:val=""/>
              <m:endChr m:val=")"/>
              <m:grow/>
            </m:dPr>
            <m:e>
              <m:r>
                <m:t>14</m:t>
              </m:r>
            </m:e>
          </m:d>
        </m:oMath>
      </m:oMathPara>
      <w:bookmarkEnd w:id="297"/>
    </w:p>
    <w:p>
      <w:pPr>
        <w:pStyle w:val="FirstParagraph"/>
      </w:pPr>
      <w:bookmarkStart w:id="298" w:name="eq:eq:sar-pol-covmat-eq4"/>
      <m:oMathPara>
        <m:oMathParaPr>
          <m:jc m:val="center"/>
        </m:oMathParaPr>
        <m:oMath>
          <m:r>
            <m:rPr>
              <m:nor/>
              <m:sty m:val="p"/>
            </m:rPr>
            <m:t>CH-CV:</m:t>
          </m:r>
          <m:r>
            <m:t> </m:t>
          </m:r>
          <m:r>
            <m:t>C</m:t>
          </m:r>
          <m:r>
            <m:t>2</m:t>
          </m:r>
          <m:r>
            <m:rPr>
              <m:sty m:val="p"/>
            </m:rPr>
            <m:t>=</m:t>
          </m:r>
          <m:d>
            <m:dPr>
              <m:begChr m:val="["/>
              <m:sepChr m:val=""/>
              <m:endChr m:val="]"/>
              <m:grow/>
            </m:dPr>
            <m:e>
              <m:m>
                <m:mPr>
                  <m:baseJc m:val="center"/>
                  <m:plcHide m:val="on"/>
                  <m:mcs>
                    <m:mc>
                      <m:mcPr>
                        <m:mcJc m:val="center"/>
                        <m:count m:val="1"/>
                      </m:mcPr>
                    </m:mc>
                    <m:mc>
                      <m:mcPr>
                        <m:mcJc m:val="center"/>
                        <m:count m:val="1"/>
                      </m:mcPr>
                    </m:mc>
                  </m:mcs>
                </m:mPr>
                <m:mr>
                  <m:e>
                    <m:sSup>
                      <m:e>
                        <m:d>
                          <m:dPr>
                            <m:begChr m:val="|"/>
                            <m:sepChr m:val=""/>
                            <m:endChr m:val="|"/>
                            <m:grow/>
                          </m:dPr>
                          <m:e>
                            <m:r>
                              <m:rPr>
                                <m:sty m:val="b"/>
                              </m:rPr>
                              <m:t>C</m:t>
                            </m:r>
                            <m:r>
                              <m:rPr>
                                <m:sty m:val="b"/>
                              </m:rPr>
                              <m:t>H</m:t>
                            </m:r>
                          </m:e>
                        </m:d>
                      </m:e>
                      <m:sup>
                        <m:r>
                          <m:t>2</m:t>
                        </m:r>
                      </m:sup>
                    </m:sSup>
                  </m:e>
                  <m:e>
                    <m:r>
                      <m:rPr>
                        <m:sty m:val="b"/>
                      </m:rPr>
                      <m:t>C</m:t>
                    </m:r>
                    <m:r>
                      <m:rPr>
                        <m:sty m:val="b"/>
                      </m:rPr>
                      <m:t>H</m:t>
                    </m:r>
                    <m:r>
                      <m:rPr>
                        <m:sty m:val="p"/>
                      </m:rPr>
                      <m:t>⋅</m:t>
                    </m:r>
                    <m:r>
                      <m:rPr>
                        <m:sty m:val="b"/>
                      </m:rPr>
                      <m:t>C</m:t>
                    </m:r>
                    <m:sSup>
                      <m:e>
                        <m:r>
                          <m:rPr>
                            <m:sty m:val="b"/>
                          </m:rPr>
                          <m:t>V</m:t>
                        </m:r>
                      </m:e>
                      <m:sup>
                        <m:r>
                          <m:rPr>
                            <m:sty m:val="p"/>
                          </m:rPr>
                          <m:t>*</m:t>
                        </m:r>
                      </m:sup>
                    </m:sSup>
                  </m:e>
                </m:mr>
                <m:mr>
                  <m:e>
                    <m:r>
                      <m:t>C</m:t>
                    </m:r>
                    <m:r>
                      <m:t>V</m:t>
                    </m:r>
                    <m:r>
                      <m:rPr>
                        <m:sty m:val="p"/>
                      </m:rPr>
                      <m:t>⋅</m:t>
                    </m:r>
                    <m:r>
                      <m:t>C</m:t>
                    </m:r>
                    <m:sSup>
                      <m:e>
                        <m:r>
                          <m:t>H</m:t>
                        </m:r>
                      </m:e>
                      <m:sup>
                        <m:r>
                          <m:rPr>
                            <m:sty m:val="p"/>
                          </m:rPr>
                          <m:t>*</m:t>
                        </m:r>
                      </m:sup>
                    </m:sSup>
                  </m:e>
                  <m:e>
                    <m:sSup>
                      <m:e>
                        <m:d>
                          <m:dPr>
                            <m:begChr m:val="|"/>
                            <m:sepChr m:val=""/>
                            <m:endChr m:val="|"/>
                            <m:grow/>
                          </m:dPr>
                          <m:e>
                            <m:r>
                              <m:rPr>
                                <m:sty m:val="b"/>
                              </m:rPr>
                              <m:t>C</m:t>
                            </m:r>
                            <m:r>
                              <m:rPr>
                                <m:sty m:val="b"/>
                              </m:rPr>
                              <m:t>V</m:t>
                            </m:r>
                          </m:e>
                        </m:d>
                      </m:e>
                      <m:sup>
                        <m:r>
                          <m:t>2</m:t>
                        </m:r>
                      </m:sup>
                    </m:sSup>
                  </m:e>
                </m:mr>
              </m:m>
            </m:e>
          </m:d>
          <m:r>
            <m:t>  </m:t>
          </m:r>
          <m:d>
            <m:dPr>
              <m:begChr m:val="("/>
              <m:sepChr m:val=""/>
              <m:endChr m:val=")"/>
              <m:grow/>
            </m:dPr>
            <m:e>
              <m:r>
                <m:t>15</m:t>
              </m:r>
            </m:e>
          </m:d>
        </m:oMath>
      </m:oMathPara>
      <w:bookmarkEnd w:id="298"/>
    </w:p>
    <w:p>
      <w:pPr>
        <w:pStyle w:val="FirstParagraph"/>
      </w:pPr>
      <w:r>
        <w:t xml:space="preserve">Where CH and CV refer to dual polarization transmitting a circular polarized signal. [CH, CV] can be replaced by [LH, LV] or [RH, RV] for left (L) or right (R) hand circular transmission respectively, although RCM will offer only right-hand circular transmission. The coherent HH-VV configuration available on TerraSAR-X could also be represented as C2 format.</w:t>
      </w:r>
    </w:p>
    <w:p>
      <w:pPr>
        <w:pStyle w:val="Textkrper"/>
      </w:pPr>
      <w:r>
        <w:t xml:space="preserve">Polarimetric decomposition methods like</w:t>
      </w:r>
      <w:r>
        <w:t xml:space="preserve"> </w:t>
      </w:r>
      <w:r>
        <w:t xml:space="preserve">(</w:t>
      </w:r>
      <w:hyperlink w:anchor="ref-yamaguchi2011">
        <w:r>
          <w:rPr>
            <w:rStyle w:val="Hyperlink"/>
          </w:rPr>
          <w:t xml:space="preserve">Yamaguchi et al. 2011</w:t>
        </w:r>
      </w:hyperlink>
      <w:r>
        <w:t xml:space="preserve">)</w:t>
      </w:r>
      <w:r>
        <w:t xml:space="preserve"> </w:t>
      </w:r>
      <w:r>
        <w:t xml:space="preserve">for fully polarimetric, or m-chi</w:t>
      </w:r>
      <w:r>
        <w:t xml:space="preserve"> </w:t>
      </w:r>
      <w:r>
        <w:t xml:space="preserve">(</w:t>
      </w:r>
      <w:hyperlink w:anchor="ref-raney2012">
        <w:r>
          <w:rPr>
            <w:rStyle w:val="Hyperlink"/>
          </w:rPr>
          <w:t xml:space="preserve">Raney et al. 2012</w:t>
        </w:r>
      </w:hyperlink>
      <w:r>
        <w:t xml:space="preserve">)</w:t>
      </w:r>
      <w:r>
        <w:t xml:space="preserve"> </w:t>
      </w:r>
      <w:r>
        <w:t xml:space="preserve">for compact polarimetric data, can be applied directly on averaged (speckle filtered) C3 and C2 matrices respectively. These decompositions enhance scattering information, bring it to a more comprehensible level to end-users, and raise the performance of thematic classification methodologies. For SAR products that were acquired with single polarization the use of the covariance matrix does not result in superfluous storage requirements, since only the matrix elements that are populated are retained and the diagonal matrix elements are the backscatter intensities. Thus, a single channel intensity product would yield only one matrix element and the storage needs would not change.</w:t>
      </w:r>
    </w:p>
    <w:p>
      <w:pPr>
        <w:pStyle w:val="Textkrper"/>
      </w:pPr>
      <w:r>
        <w:t xml:space="preserve">In order to ease the data structure and the metadata in between C3 and C2, Eq. </w:t>
      </w:r>
      <w:hyperlink w:anchor="eq:sar-pol-covmat-eq1">
        <w:r>
          <w:rPr>
            <w:rStyle w:val="Hyperlink"/>
          </w:rPr>
          <w:t xml:space="preserve">12</w:t>
        </w:r>
      </w:hyperlink>
      <w:r>
        <w:t xml:space="preserve"> </w:t>
      </w:r>
      <w:r>
        <w:t xml:space="preserve">should be redefined as Eq. </w:t>
      </w:r>
      <w:hyperlink w:anchor="eq:sar-pol-covmat-eq5">
        <w:r>
          <w:rPr>
            <w:rStyle w:val="Hyperlink"/>
          </w:rPr>
          <w:t xml:space="preserve">16</w:t>
        </w:r>
      </w:hyperlink>
      <w:r>
        <w:t xml:space="preserve">. Users will have to take care of this non-standard representation when applying their polarimetric analytic tools.</w:t>
      </w:r>
      <w:r>
        <w:t xml:space="preserve"> </w:t>
      </w:r>
      <w:r>
        <w:t xml:space="preserve">“&lt; &gt;”</w:t>
      </w:r>
      <w:r>
        <w:t xml:space="preserve"> </w:t>
      </w:r>
      <w:r>
        <w:t xml:space="preserve">means that ARD matrix elements are speckle filtered. Eq. </w:t>
      </w:r>
      <w:hyperlink w:anchor="eq:sar-pol-covmat-eq5">
        <w:r>
          <w:rPr>
            <w:rStyle w:val="Hyperlink"/>
          </w:rPr>
          <w:t xml:space="preserve">16</w:t>
        </w:r>
      </w:hyperlink>
      <w:r>
        <w:t xml:space="preserve"> </w:t>
      </w:r>
      <w:r>
        <w:t xml:space="preserve">is valid both for dual-linear and quad polarization.</w:t>
      </w:r>
    </w:p>
    <w:p>
      <w:pPr>
        <w:pStyle w:val="Textkrper"/>
      </w:pPr>
      <w:bookmarkStart w:id="299" w:name="eq:sar-pol-covmat-eq5"/>
      <m:oMathPara>
        <m:oMathParaPr>
          <m:jc m:val="center"/>
        </m:oMathParaPr>
        <m:oMath>
          <m:r>
            <m:rPr>
              <m:nor/>
              <m:sty m:val="p"/>
            </m:rPr>
            <m:t>C3 modified:</m:t>
          </m:r>
          <m:r>
            <m:t> </m:t>
          </m:r>
          <m:r>
            <m:t>C</m:t>
          </m:r>
          <m:sSub>
            <m:e>
              <m:r>
                <m:t>3</m:t>
              </m:r>
            </m:e>
            <m:sub>
              <m:r>
                <m:t>m</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d>
                          <m:dPr>
                            <m:begChr m:val="|"/>
                            <m:sepChr m:val=""/>
                            <m:endChr m:val="|"/>
                            <m:grow/>
                          </m:dPr>
                          <m:e>
                            <m:r>
                              <m:rPr>
                                <m:sty m:val="p"/>
                              </m:rPr>
                              <m:t>⟨</m:t>
                            </m:r>
                            <m:r>
                              <m:rPr>
                                <m:sty m:val="b"/>
                              </m:rPr>
                              <m:t>H</m:t>
                            </m:r>
                            <m:r>
                              <m:rPr>
                                <m:sty m:val="b"/>
                              </m:rPr>
                              <m:t>H</m:t>
                            </m:r>
                          </m:e>
                        </m:d>
                      </m:e>
                      <m:sup>
                        <m:r>
                          <m:t>2</m:t>
                        </m:r>
                      </m:sup>
                    </m:sSup>
                    <m:r>
                      <m:rPr>
                        <m:sty m:val="p"/>
                      </m:rPr>
                      <m:t>⟩</m:t>
                    </m:r>
                  </m:e>
                  <m:e>
                    <m:r>
                      <m:rPr>
                        <m:sty m:val="p"/>
                      </m:rPr>
                      <m:t>⟨</m:t>
                    </m:r>
                    <m:r>
                      <m:rPr>
                        <m:sty m:val="b"/>
                      </m:rPr>
                      <m:t>H</m:t>
                    </m:r>
                    <m:r>
                      <m:rPr>
                        <m:sty m:val="b"/>
                      </m:rPr>
                      <m:t>H</m:t>
                    </m:r>
                    <m:r>
                      <m:rPr>
                        <m:sty m:val="p"/>
                      </m:rPr>
                      <m:t>⋅</m:t>
                    </m:r>
                    <m:r>
                      <m:rPr>
                        <m:sty m:val="b"/>
                      </m:rPr>
                      <m:t>H</m:t>
                    </m:r>
                    <m:sSup>
                      <m:e>
                        <m:r>
                          <m:rPr>
                            <m:sty m:val="b"/>
                          </m:rPr>
                          <m:t>V</m:t>
                        </m:r>
                      </m:e>
                      <m:sup>
                        <m:r>
                          <m:rPr>
                            <m:sty m:val="p"/>
                          </m:rPr>
                          <m:t>*</m:t>
                        </m:r>
                      </m:sup>
                    </m:sSup>
                    <m:r>
                      <m:rPr>
                        <m:sty m:val="p"/>
                      </m:rPr>
                      <m:t>⟩</m:t>
                    </m:r>
                  </m:e>
                  <m:e>
                    <m:r>
                      <m:rPr>
                        <m:sty m:val="p"/>
                      </m:rPr>
                      <m:t>⟨</m:t>
                    </m:r>
                    <m:r>
                      <m:rPr>
                        <m:sty m:val="b"/>
                      </m:rPr>
                      <m:t>H</m:t>
                    </m:r>
                    <m:r>
                      <m:rPr>
                        <m:sty m:val="b"/>
                      </m:rPr>
                      <m:t>H</m:t>
                    </m:r>
                    <m:r>
                      <m:rPr>
                        <m:sty m:val="p"/>
                      </m:rPr>
                      <m:t>⋅</m:t>
                    </m:r>
                    <m:r>
                      <m:rPr>
                        <m:sty m:val="b"/>
                      </m:rPr>
                      <m:t>V</m:t>
                    </m:r>
                    <m:sSup>
                      <m:e>
                        <m:r>
                          <m:rPr>
                            <m:sty m:val="b"/>
                          </m:rPr>
                          <m:t>V</m:t>
                        </m:r>
                      </m:e>
                      <m:sup>
                        <m:r>
                          <m:rPr>
                            <m:sty m:val="p"/>
                          </m:rPr>
                          <m:t>*</m:t>
                        </m:r>
                      </m:sup>
                    </m:sSup>
                    <m:r>
                      <m:rPr>
                        <m:sty m:val="p"/>
                      </m:rPr>
                      <m:t>⟩</m:t>
                    </m:r>
                  </m:e>
                </m:mr>
                <m:mr>
                  <m:e>
                    <m:r>
                      <m:rPr>
                        <m:sty m:val="p"/>
                      </m:rPr>
                      <m:t>⟨</m:t>
                    </m:r>
                    <m:r>
                      <m:t>H</m:t>
                    </m:r>
                    <m:r>
                      <m:t>V</m:t>
                    </m:r>
                    <m:r>
                      <m:rPr>
                        <m:sty m:val="p"/>
                      </m:rPr>
                      <m:t>⋅</m:t>
                    </m:r>
                    <m:r>
                      <m:t>H</m:t>
                    </m:r>
                    <m:sSup>
                      <m:e>
                        <m:r>
                          <m:t>H</m:t>
                        </m:r>
                      </m:e>
                      <m:sup>
                        <m:r>
                          <m:rPr>
                            <m:sty m:val="p"/>
                          </m:rPr>
                          <m:t>*</m:t>
                        </m:r>
                      </m:sup>
                    </m:sSup>
                    <m:r>
                      <m:rPr>
                        <m:sty m:val="p"/>
                      </m:rPr>
                      <m:t>⟩</m:t>
                    </m:r>
                  </m:e>
                  <m:e>
                    <m:r>
                      <m:rPr>
                        <m:sty m:val="p"/>
                      </m:rPr>
                      <m:t>⟨</m:t>
                    </m:r>
                    <m:sSup>
                      <m:e>
                        <m:d>
                          <m:dPr>
                            <m:begChr m:val="|"/>
                            <m:sepChr m:val=""/>
                            <m:endChr m:val="|"/>
                            <m:grow/>
                          </m:dPr>
                          <m:e>
                            <m:r>
                              <m:rPr>
                                <m:sty m:val="b"/>
                              </m:rPr>
                              <m:t>H</m:t>
                            </m:r>
                            <m:r>
                              <m:rPr>
                                <m:sty m:val="b"/>
                              </m:rPr>
                              <m:t>V</m:t>
                            </m:r>
                          </m:e>
                        </m:d>
                      </m:e>
                      <m:sup>
                        <m:r>
                          <m:t>2</m:t>
                        </m:r>
                      </m:sup>
                    </m:sSup>
                    <m:r>
                      <m:rPr>
                        <m:sty m:val="p"/>
                      </m:rPr>
                      <m:t>⟩</m:t>
                    </m:r>
                  </m:e>
                  <m:e>
                    <m:r>
                      <m:rPr>
                        <m:sty m:val="p"/>
                      </m:rPr>
                      <m:t>⟨</m:t>
                    </m:r>
                    <m:r>
                      <m:rPr>
                        <m:sty m:val="b"/>
                      </m:rPr>
                      <m:t>H</m:t>
                    </m:r>
                    <m:r>
                      <m:rPr>
                        <m:sty m:val="b"/>
                      </m:rPr>
                      <m:t>V</m:t>
                    </m:r>
                    <m:r>
                      <m:rPr>
                        <m:sty m:val="p"/>
                      </m:rPr>
                      <m:t>⋅</m:t>
                    </m:r>
                    <m:r>
                      <m:rPr>
                        <m:sty m:val="b"/>
                      </m:rPr>
                      <m:t>V</m:t>
                    </m:r>
                    <m:sSup>
                      <m:e>
                        <m:r>
                          <m:rPr>
                            <m:sty m:val="b"/>
                          </m:rPr>
                          <m:t>V</m:t>
                        </m:r>
                      </m:e>
                      <m:sup>
                        <m:r>
                          <m:rPr>
                            <m:sty m:val="p"/>
                          </m:rPr>
                          <m:t>*</m:t>
                        </m:r>
                      </m:sup>
                    </m:sSup>
                    <m:r>
                      <m:rPr>
                        <m:sty m:val="p"/>
                      </m:rPr>
                      <m:t>⟩</m:t>
                    </m:r>
                  </m:e>
                </m:mr>
                <m:mr>
                  <m:e>
                    <m:r>
                      <m:rPr>
                        <m:sty m:val="p"/>
                      </m:rPr>
                      <m:t>⟨</m:t>
                    </m:r>
                    <m:r>
                      <m:t>V</m:t>
                    </m:r>
                    <m:r>
                      <m:t>V</m:t>
                    </m:r>
                    <m:r>
                      <m:rPr>
                        <m:sty m:val="p"/>
                      </m:rPr>
                      <m:t>⋅</m:t>
                    </m:r>
                    <m:r>
                      <m:t>H</m:t>
                    </m:r>
                    <m:sSup>
                      <m:e>
                        <m:r>
                          <m:t>H</m:t>
                        </m:r>
                      </m:e>
                      <m:sup>
                        <m:r>
                          <m:rPr>
                            <m:sty m:val="p"/>
                          </m:rPr>
                          <m:t>*</m:t>
                        </m:r>
                      </m:sup>
                    </m:sSup>
                    <m:r>
                      <m:rPr>
                        <m:sty m:val="p"/>
                      </m:rPr>
                      <m:t>⟩</m:t>
                    </m:r>
                  </m:e>
                  <m:e>
                    <m:r>
                      <m:rPr>
                        <m:sty m:val="p"/>
                      </m:rPr>
                      <m:t>⟨</m:t>
                    </m:r>
                    <m:r>
                      <m:t>V</m:t>
                    </m:r>
                    <m:r>
                      <m:t>V</m:t>
                    </m:r>
                    <m:r>
                      <m:rPr>
                        <m:sty m:val="p"/>
                      </m:rPr>
                      <m:t>⋅</m:t>
                    </m:r>
                    <m:r>
                      <m:t>H</m:t>
                    </m:r>
                    <m:sSup>
                      <m:e>
                        <m:r>
                          <m:t>V</m:t>
                        </m:r>
                      </m:e>
                      <m:sup>
                        <m:r>
                          <m:rPr>
                            <m:sty m:val="p"/>
                          </m:rPr>
                          <m:t>*</m:t>
                        </m:r>
                      </m:sup>
                    </m:sSup>
                    <m:r>
                      <m:rPr>
                        <m:sty m:val="p"/>
                      </m:rPr>
                      <m:t>⟩</m:t>
                    </m:r>
                  </m:e>
                  <m:e>
                    <m:r>
                      <m:rPr>
                        <m:sty m:val="p"/>
                      </m:rPr>
                      <m:t>⟨</m:t>
                    </m:r>
                    <m:sSup>
                      <m:e>
                        <m:d>
                          <m:dPr>
                            <m:begChr m:val="|"/>
                            <m:sepChr m:val=""/>
                            <m:endChr m:val="|"/>
                            <m:grow/>
                          </m:dPr>
                          <m:e>
                            <m:r>
                              <m:rPr>
                                <m:sty m:val="b"/>
                              </m:rPr>
                              <m:t>V</m:t>
                            </m:r>
                            <m:r>
                              <m:rPr>
                                <m:sty m:val="b"/>
                              </m:rPr>
                              <m:t>V</m:t>
                            </m:r>
                          </m:e>
                        </m:d>
                      </m:e>
                      <m:sup>
                        <m:r>
                          <m:t>2</m:t>
                        </m:r>
                      </m:sup>
                    </m:sSup>
                    <m:r>
                      <m:rPr>
                        <m:sty m:val="p"/>
                      </m:rPr>
                      <m:t>⟩</m:t>
                    </m:r>
                  </m:e>
                </m:mr>
              </m:m>
            </m:e>
          </m:d>
          <m:r>
            <m:t>  </m:t>
          </m:r>
          <m:d>
            <m:dPr>
              <m:begChr m:val="("/>
              <m:sepChr m:val=""/>
              <m:endChr m:val=")"/>
              <m:grow/>
            </m:dPr>
            <m:e>
              <m:r>
                <m:t>16</m:t>
              </m:r>
            </m:e>
          </m:d>
        </m:oMath>
      </m:oMathPara>
      <w:bookmarkEnd w:id="299"/>
    </w:p>
    <w:p>
      <w:pPr>
        <w:pStyle w:val="FirstParagraph"/>
      </w:pPr>
      <w:r>
        <w:t xml:space="preserve">Furthermore, for compact polarimetric data, it is recommended to store them, by simple transformation, under the circular-circular basis, since RR and RL polarizations (Eq. </w:t>
      </w:r>
      <w:hyperlink w:anchor="eq:sar-pol-covmat-eq6">
        <w:r>
          <w:rPr>
            <w:rStyle w:val="Hyperlink"/>
          </w:rPr>
          <w:t xml:space="preserve">17</w:t>
        </w:r>
      </w:hyperlink>
      <w:r>
        <w:t xml:space="preserve">) permit faster and more intuitive RGB visualizations (R=RR, G=RR/(RR+RL), B= RL).</w:t>
      </w:r>
    </w:p>
    <w:p>
      <w:pPr>
        <w:pStyle w:val="Textkrper"/>
      </w:pPr>
      <w:bookmarkStart w:id="300" w:name="eq:sar-pol-covmat-eq6"/>
      <m:oMathPara>
        <m:oMathParaPr>
          <m:jc m:val="center"/>
        </m:oMathParaPr>
        <m:oMath>
          <m:r>
            <m:rPr>
              <m:nor/>
              <m:sty m:val="p"/>
            </m:rPr>
            <m:t>CH-CV (C2 circular):</m:t>
          </m:r>
          <m:r>
            <m:t> </m:t>
          </m:r>
          <m:r>
            <m:t>C</m:t>
          </m:r>
          <m:sSub>
            <m:e>
              <m:r>
                <m:t>2</m:t>
              </m:r>
            </m:e>
            <m:sub>
              <m:r>
                <m:t>c</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sSup>
                      <m:e>
                        <m:d>
                          <m:dPr>
                            <m:begChr m:val="|"/>
                            <m:sepChr m:val=""/>
                            <m:endChr m:val="|"/>
                            <m:grow/>
                          </m:dPr>
                          <m:e>
                            <m:r>
                              <m:rPr>
                                <m:sty m:val="b"/>
                              </m:rPr>
                              <m:t>R</m:t>
                            </m:r>
                            <m:r>
                              <m:rPr>
                                <m:sty m:val="b"/>
                              </m:rPr>
                              <m:t>R</m:t>
                            </m:r>
                          </m:e>
                        </m:d>
                      </m:e>
                      <m:sup>
                        <m:r>
                          <m:t>2</m:t>
                        </m:r>
                      </m:sup>
                    </m:sSup>
                    <m:r>
                      <m:rPr>
                        <m:sty m:val="p"/>
                      </m:rPr>
                      <m:t>⟩</m:t>
                    </m:r>
                  </m:e>
                  <m:e>
                    <m:r>
                      <m:rPr>
                        <m:sty m:val="p"/>
                      </m:rPr>
                      <m:t>⟨</m:t>
                    </m:r>
                    <m:r>
                      <m:rPr>
                        <m:sty m:val="b"/>
                      </m:rPr>
                      <m:t>R</m:t>
                    </m:r>
                    <m:r>
                      <m:rPr>
                        <m:sty m:val="b"/>
                      </m:rPr>
                      <m:t>R</m:t>
                    </m:r>
                    <m:r>
                      <m:rPr>
                        <m:sty m:val="p"/>
                      </m:rPr>
                      <m:t>⋅</m:t>
                    </m:r>
                    <m:r>
                      <m:rPr>
                        <m:sty m:val="b"/>
                      </m:rPr>
                      <m:t>R</m:t>
                    </m:r>
                    <m:sSup>
                      <m:e>
                        <m:r>
                          <m:rPr>
                            <m:sty m:val="b"/>
                          </m:rPr>
                          <m:t>¬</m:t>
                        </m:r>
                      </m:e>
                      <m:sup>
                        <m:r>
                          <m:rPr>
                            <m:sty m:val="p"/>
                          </m:rPr>
                          <m:t>*</m:t>
                        </m:r>
                      </m:sup>
                    </m:sSup>
                    <m:r>
                      <m:rPr>
                        <m:sty m:val="p"/>
                      </m:rPr>
                      <m:t>⟩</m:t>
                    </m:r>
                  </m:e>
                </m:mr>
                <m:mr>
                  <m:e>
                    <m:r>
                      <m:rPr>
                        <m:sty m:val="p"/>
                      </m:rPr>
                      <m:t>⟨</m:t>
                    </m:r>
                    <m:r>
                      <m:t>R</m:t>
                    </m:r>
                    <m:r>
                      <m:t>L</m:t>
                    </m:r>
                    <m:r>
                      <m:rPr>
                        <m:sty m:val="p"/>
                      </m:rPr>
                      <m:t>⋅</m:t>
                    </m:r>
                    <m:r>
                      <m:t>R</m:t>
                    </m:r>
                    <m:sSup>
                      <m:e>
                        <m:r>
                          <m:t>R</m:t>
                        </m:r>
                      </m:e>
                      <m:sup>
                        <m:r>
                          <m:rPr>
                            <m:sty m:val="p"/>
                          </m:rPr>
                          <m:t>*</m:t>
                        </m:r>
                      </m:sup>
                    </m:sSup>
                    <m:r>
                      <m:rPr>
                        <m:sty m:val="p"/>
                      </m:rPr>
                      <m:t>⟩</m:t>
                    </m:r>
                  </m:e>
                  <m:e>
                    <m:r>
                      <m:rPr>
                        <m:sty m:val="p"/>
                      </m:rPr>
                      <m:t>⟨</m:t>
                    </m:r>
                    <m:sSup>
                      <m:e>
                        <m:d>
                          <m:dPr>
                            <m:begChr m:val="|"/>
                            <m:sepChr m:val=""/>
                            <m:endChr m:val="|"/>
                            <m:grow/>
                          </m:dPr>
                          <m:e>
                            <m:r>
                              <m:rPr>
                                <m:sty m:val="b"/>
                              </m:rPr>
                              <m:t>R</m:t>
                            </m:r>
                            <m:r>
                              <m:rPr>
                                <m:sty m:val="b"/>
                              </m:rPr>
                              <m:t>L</m:t>
                            </m:r>
                          </m:e>
                        </m:d>
                      </m:e>
                      <m:sup>
                        <m:r>
                          <m:t>2</m:t>
                        </m:r>
                      </m:sup>
                    </m:sSup>
                    <m:r>
                      <m:rPr>
                        <m:sty m:val="p"/>
                      </m:rPr>
                      <m:t>⟩</m:t>
                    </m:r>
                  </m:e>
                </m:mr>
              </m:m>
            </m:e>
          </m:d>
          <m:r>
            <m:t>  </m:t>
          </m:r>
          <m:d>
            <m:dPr>
              <m:begChr m:val="("/>
              <m:sepChr m:val=""/>
              <m:endChr m:val=")"/>
              <m:grow/>
            </m:dPr>
            <m:e>
              <m:r>
                <m:t>17</m:t>
              </m:r>
            </m:e>
          </m:d>
        </m:oMath>
      </m:oMathPara>
      <w:bookmarkEnd w:id="300"/>
    </w:p>
    <w:bookmarkEnd w:id="301"/>
    <w:bookmarkStart w:id="306" w:name="sec:annex-sar-pol-prd"/>
    <w:p>
      <w:pPr>
        <w:pStyle w:val="berschrift3"/>
      </w:pPr>
      <w:r>
        <w:t xml:space="preserve">Polarimetric Radar Decomposition (PRD)</w:t>
      </w:r>
    </w:p>
    <w:p>
      <w:pPr>
        <w:pStyle w:val="FirstParagraph"/>
      </w:pPr>
      <w:r>
        <w:t xml:space="preserve">Different methodologies allow decomposition of coherent dual-polarization data or fully polarimetric data to meaningful components summarizing the scattering processing with the interacting media. Decomposition techniques are divided in two categories: Coherent and incoherent.</w:t>
      </w:r>
    </w:p>
    <w:bookmarkStart w:id="303" w:name="coherent-decompositions"/>
    <w:p>
      <w:pPr>
        <w:pStyle w:val="berschrift4"/>
      </w:pPr>
      <w:r>
        <w:t xml:space="preserve">Coherent decompositions</w:t>
      </w:r>
    </w:p>
    <w:p>
      <w:pPr>
        <w:pStyle w:val="FirstParagraph"/>
      </w:pPr>
      <w:r>
        <w:t xml:space="preserve">Coherent decompositions express the scattering matrix by the summation of elementary objects of known signature (ex.: a sphere, a diplane, a cylinder, a helix, …). They are used mainly to describe point targets which are coherent. As for examples, coherent PRD could be (but not limited to):</w:t>
      </w:r>
    </w:p>
    <w:p>
      <w:pPr>
        <w:numPr>
          <w:ilvl w:val="0"/>
          <w:numId w:val="1095"/>
        </w:numPr>
      </w:pPr>
      <w:r>
        <w:t xml:space="preserve">Pauli decomposition (3 layers)</w:t>
      </w:r>
    </w:p>
    <w:p>
      <w:pPr>
        <w:pStyle w:val="Compact"/>
        <w:numPr>
          <w:ilvl w:val="1"/>
          <w:numId w:val="1096"/>
        </w:numPr>
      </w:pPr>
      <m:oMath>
        <m:sSup>
          <m:e>
            <m:d>
              <m:dPr>
                <m:begChr m:val="|"/>
                <m:sepChr m:val=""/>
                <m:endChr m:val="|"/>
                <m:grow/>
              </m:dPr>
              <m:e>
                <m:r>
                  <m:t>α</m:t>
                </m:r>
              </m:e>
            </m:d>
          </m:e>
          <m:sup>
            <m:r>
              <m:t>2</m:t>
            </m:r>
          </m:sup>
        </m:sSup>
      </m:oMath>
      <w:r>
        <w:t xml:space="preserve">: sphere (odd-bounce interaction) [Intensity]</w:t>
      </w:r>
    </w:p>
    <w:p>
      <w:pPr>
        <w:pStyle w:val="Compact"/>
        <w:numPr>
          <w:ilvl w:val="1"/>
          <w:numId w:val="1096"/>
        </w:numPr>
      </w:pPr>
      <m:oMath>
        <m:sSup>
          <m:e>
            <m:d>
              <m:dPr>
                <m:begChr m:val="|"/>
                <m:sepChr m:val=""/>
                <m:endChr m:val="|"/>
                <m:grow/>
              </m:dPr>
              <m:e>
                <m:r>
                  <m:t>β</m:t>
                </m:r>
              </m:e>
            </m:d>
          </m:e>
          <m:sup>
            <m:r>
              <m:t>2</m:t>
            </m:r>
          </m:sup>
        </m:sSup>
      </m:oMath>
      <w:r>
        <w:t xml:space="preserve">: 0° diplane (even-bounce interaction) [Intensity]</w:t>
      </w:r>
    </w:p>
    <w:p>
      <w:pPr>
        <w:pStyle w:val="Compact"/>
        <w:numPr>
          <w:ilvl w:val="1"/>
          <w:numId w:val="1096"/>
        </w:numPr>
      </w:pPr>
      <m:oMath>
        <m:sSup>
          <m:e>
            <m:d>
              <m:dPr>
                <m:begChr m:val="|"/>
                <m:sepChr m:val=""/>
                <m:endChr m:val="|"/>
                <m:grow/>
              </m:dPr>
              <m:e>
                <m:r>
                  <m:t>γ</m:t>
                </m:r>
              </m:e>
            </m:d>
          </m:e>
          <m:sup>
            <m:r>
              <m:t>2</m:t>
            </m:r>
          </m:sup>
        </m:sSup>
      </m:oMath>
      <w:r>
        <w:t xml:space="preserve">: 45° diplane (volumetric interaction) [Intensity]</w:t>
      </w:r>
    </w:p>
    <w:p>
      <w:pPr>
        <w:numPr>
          <w:ilvl w:val="0"/>
          <w:numId w:val="1095"/>
        </w:numPr>
      </w:pPr>
      <w:r>
        <w:t xml:space="preserve">Krogager decomposition (5 layers)</w:t>
      </w:r>
      <w:r>
        <w:t xml:space="preserve"> </w:t>
      </w:r>
      <w:r>
        <w:t xml:space="preserve">(</w:t>
      </w:r>
      <w:hyperlink w:anchor="ref-krogager1993">
        <w:r>
          <w:rPr>
            <w:rStyle w:val="Hyperlink"/>
          </w:rPr>
          <w:t xml:space="preserve">Krogager, Danmarks Tekniske Hojskole (Lingby, and Establishment 1993</w:t>
        </w:r>
      </w:hyperlink>
      <w:r>
        <w:t xml:space="preserve">)</w:t>
      </w:r>
    </w:p>
    <w:p>
      <w:pPr>
        <w:pStyle w:val="Compact"/>
        <w:numPr>
          <w:ilvl w:val="1"/>
          <w:numId w:val="1097"/>
        </w:numPr>
      </w:pPr>
      <m:oMath>
        <m:sSup>
          <m:e>
            <m:d>
              <m:dPr>
                <m:begChr m:val="|"/>
                <m:sepChr m:val=""/>
                <m:endChr m:val="|"/>
                <m:grow/>
              </m:dPr>
              <m:e>
                <m:sSub>
                  <m:e>
                    <m:r>
                      <m:t>κ</m:t>
                    </m:r>
                  </m:e>
                  <m:sub>
                    <m:r>
                      <m:t>σ</m:t>
                    </m:r>
                  </m:sub>
                </m:sSub>
              </m:e>
            </m:d>
          </m:e>
          <m:sup>
            <m:r>
              <m:t>2</m:t>
            </m:r>
          </m:sup>
        </m:sSup>
      </m:oMath>
      <w:r>
        <w:t xml:space="preserve"> </w:t>
      </w:r>
      <w:r>
        <w:t xml:space="preserve">: sphere (odd-bounce interaction) [Intensity]</w:t>
      </w:r>
    </w:p>
    <w:p>
      <w:pPr>
        <w:pStyle w:val="Compact"/>
        <w:numPr>
          <w:ilvl w:val="1"/>
          <w:numId w:val="1097"/>
        </w:numPr>
      </w:pPr>
      <m:oMath>
        <m:sSup>
          <m:e>
            <m:d>
              <m:dPr>
                <m:begChr m:val="|"/>
                <m:sepChr m:val=""/>
                <m:endChr m:val="|"/>
                <m:grow/>
              </m:dPr>
              <m:e>
                <m:sSub>
                  <m:e>
                    <m:r>
                      <m:t>κ</m:t>
                    </m:r>
                  </m:e>
                  <m:sub>
                    <m:r>
                      <m:t>δ</m:t>
                    </m:r>
                  </m:sub>
                </m:sSub>
              </m:e>
            </m:d>
          </m:e>
          <m:sup>
            <m:r>
              <m:t>2</m:t>
            </m:r>
          </m:sup>
        </m:sSup>
      </m:oMath>
      <w:r>
        <w:t xml:space="preserve"> </w:t>
      </w:r>
      <w:r>
        <w:t xml:space="preserve">: diplane (odd-bounce interaction) [Intensity]</w:t>
      </w:r>
    </w:p>
    <w:p>
      <w:pPr>
        <w:pStyle w:val="Compact"/>
        <w:numPr>
          <w:ilvl w:val="1"/>
          <w:numId w:val="1097"/>
        </w:numPr>
      </w:pPr>
      <m:oMath>
        <m:sSup>
          <m:e>
            <m:d>
              <m:dPr>
                <m:begChr m:val="|"/>
                <m:sepChr m:val=""/>
                <m:endChr m:val="|"/>
                <m:grow/>
              </m:dPr>
              <m:e>
                <m:sSub>
                  <m:e>
                    <m:r>
                      <m:t>κ</m:t>
                    </m:r>
                  </m:e>
                  <m:sub>
                    <m:r>
                      <m:t>η</m:t>
                    </m:r>
                  </m:sub>
                </m:sSub>
              </m:e>
            </m:d>
          </m:e>
          <m:sup>
            <m:r>
              <m:t>2</m:t>
            </m:r>
          </m:sup>
        </m:sSup>
      </m:oMath>
      <w:r>
        <w:t xml:space="preserve"> </w:t>
      </w:r>
      <w:r>
        <w:t xml:space="preserve">: helix [Intensity]</w:t>
      </w:r>
    </w:p>
    <w:p>
      <w:pPr>
        <w:pStyle w:val="Compact"/>
        <w:numPr>
          <w:ilvl w:val="1"/>
          <w:numId w:val="1097"/>
        </w:numPr>
      </w:pPr>
      <m:oMath>
        <m:r>
          <m:t>θ</m:t>
        </m:r>
      </m:oMath>
      <w:r>
        <w:t xml:space="preserve">: orientation angle [degrees]</w:t>
      </w:r>
    </w:p>
    <w:p>
      <w:pPr>
        <w:pStyle w:val="Compact"/>
        <w:numPr>
          <w:ilvl w:val="1"/>
          <w:numId w:val="1097"/>
        </w:numPr>
      </w:pPr>
      <m:oMath>
        <m:sSub>
          <m:e>
            <m:r>
              <m:t>Φ</m:t>
            </m:r>
          </m:e>
          <m:sub>
            <m:r>
              <m:t>s</m:t>
            </m:r>
          </m:sub>
        </m:sSub>
      </m:oMath>
      <w:r>
        <w:t xml:space="preserve">: sphere to diplane angle [degrees]</w:t>
      </w:r>
    </w:p>
    <w:p>
      <w:pPr>
        <w:numPr>
          <w:ilvl w:val="0"/>
          <w:numId w:val="1095"/>
        </w:numPr>
      </w:pPr>
      <w:r>
        <w:t xml:space="preserve">Cameron (nine classes) – non-dimensional layers</w:t>
      </w:r>
      <w:r>
        <w:t xml:space="preserve"> </w:t>
      </w:r>
      <w:r>
        <w:t xml:space="preserve">(</w:t>
      </w:r>
      <w:hyperlink w:anchor="ref-cameron1996">
        <w:r>
          <w:rPr>
            <w:rStyle w:val="Hyperlink"/>
          </w:rPr>
          <w:t xml:space="preserve">Cameron, Youssef, and Leung 1996</w:t>
        </w:r>
      </w:hyperlink>
      <w:r>
        <w:t xml:space="preserve">)</w:t>
      </w:r>
    </w:p>
    <w:bookmarkStart w:id="302" w:name="tbl:sar-pol-prd-tbl1"/>
    <w:p>
      <w:pPr>
        <w:pStyle w:val="Compact"/>
      </w:pPr>
      <w:r>
        <w:t xml:space="preserve">Table 2: Elementary objects of known scattering signature</w:t>
      </w:r>
    </w:p>
    <w:tbl>
      <w:tblPr>
        <w:tblStyle w:val="Table"/>
        <w:tblW w:type="auto" w:w="0"/>
        <w:jc w:val="left"/>
        <w:tblInd w:w="720" w:type="dxa"/>
        <w:tblLook w:firstRow="1" w:lastRow="0" w:firstColumn="0" w:lastColumn="0" w:noHBand="0" w:noVBand="0" w:val="0020"/>
        <w:tblCaption w:val="Table 2: Elementary objects of known scattering signature"/>
      </w:tblPr>
      <w:tblGrid>
        <w:gridCol w:w="3960"/>
        <w:gridCol w:w="3960"/>
      </w:tblGrid>
      <w:tr>
        <w:trPr>
          <w:tblHeader w:val="on"/>
        </w:trPr>
        <w:tc>
          <w:tcPr/>
          <w:p>
            <w:pPr>
              <w:pStyle w:val="Compact"/>
              <w:jc w:val="left"/>
            </w:pPr>
            <w:r>
              <w:t xml:space="preserve">Classes</w:t>
            </w:r>
          </w:p>
        </w:tc>
        <w:tc>
          <w:tcPr/>
          <w:p>
            <w:pPr>
              <w:pStyle w:val="Compact"/>
              <w:jc w:val="center"/>
            </w:pPr>
            <w:r>
              <w:t xml:space="preserve">ID</w:t>
            </w:r>
          </w:p>
        </w:tc>
      </w:tr>
      <w:tr>
        <w:tc>
          <w:tcPr/>
          <w:p>
            <w:pPr>
              <w:pStyle w:val="Compact"/>
              <w:jc w:val="left"/>
            </w:pPr>
            <w:r>
              <w:t xml:space="preserve">Trihedral</w:t>
            </w:r>
          </w:p>
        </w:tc>
        <w:tc>
          <w:tcPr/>
          <w:p>
            <w:pPr>
              <w:pStyle w:val="Compact"/>
              <w:jc w:val="center"/>
            </w:pPr>
            <w:r>
              <w:t xml:space="preserve">1</w:t>
            </w:r>
          </w:p>
        </w:tc>
      </w:tr>
      <w:tr>
        <w:tc>
          <w:tcPr/>
          <w:p>
            <w:pPr>
              <w:pStyle w:val="Compact"/>
              <w:jc w:val="left"/>
            </w:pPr>
            <w:r>
              <w:t xml:space="preserve">Dihedral</w:t>
            </w:r>
          </w:p>
        </w:tc>
        <w:tc>
          <w:tcPr/>
          <w:p>
            <w:pPr>
              <w:pStyle w:val="Compact"/>
              <w:jc w:val="center"/>
            </w:pPr>
            <w:r>
              <w:t xml:space="preserve">2</w:t>
            </w:r>
          </w:p>
        </w:tc>
      </w:tr>
      <w:tr>
        <w:tc>
          <w:tcPr/>
          <w:p>
            <w:pPr>
              <w:pStyle w:val="Compact"/>
              <w:jc w:val="left"/>
            </w:pPr>
            <w:r>
              <w:t xml:space="preserve">Narrow Dihedral</w:t>
            </w:r>
          </w:p>
        </w:tc>
        <w:tc>
          <w:tcPr/>
          <w:p>
            <w:pPr>
              <w:pStyle w:val="Compact"/>
              <w:jc w:val="center"/>
            </w:pPr>
            <w:r>
              <w:t xml:space="preserve">3</w:t>
            </w:r>
          </w:p>
        </w:tc>
      </w:tr>
      <w:tr>
        <w:tc>
          <w:tcPr/>
          <w:p>
            <w:pPr>
              <w:pStyle w:val="Compact"/>
              <w:jc w:val="left"/>
            </w:pPr>
            <w:r>
              <w:t xml:space="preserve">Dipole</w:t>
            </w:r>
          </w:p>
        </w:tc>
        <w:tc>
          <w:tcPr/>
          <w:p>
            <w:pPr>
              <w:pStyle w:val="Compact"/>
              <w:jc w:val="center"/>
            </w:pPr>
            <w:r>
              <w:t xml:space="preserve">4</w:t>
            </w:r>
          </w:p>
        </w:tc>
      </w:tr>
      <w:tr>
        <w:tc>
          <w:tcPr/>
          <w:p>
            <w:pPr>
              <w:pStyle w:val="Compact"/>
              <w:jc w:val="left"/>
            </w:pPr>
            <w:r>
              <w:t xml:space="preserve">Cylinder</w:t>
            </w:r>
          </w:p>
        </w:tc>
        <w:tc>
          <w:tcPr/>
          <w:p>
            <w:pPr>
              <w:pStyle w:val="Compact"/>
              <w:jc w:val="center"/>
            </w:pPr>
            <w:r>
              <w:t xml:space="preserve">5</w:t>
            </w:r>
          </w:p>
        </w:tc>
      </w:tr>
      <w:tr>
        <w:tc>
          <w:tcPr/>
          <w:p>
            <w:pPr>
              <w:pStyle w:val="Compact"/>
              <w:jc w:val="left"/>
            </w:pPr>
            <w:r>
              <w:t xml:space="preserve">¼ wave</w:t>
            </w:r>
          </w:p>
        </w:tc>
        <w:tc>
          <w:tcPr/>
          <w:p>
            <w:pPr>
              <w:pStyle w:val="Compact"/>
              <w:jc w:val="center"/>
            </w:pPr>
            <w:r>
              <w:t xml:space="preserve">6</w:t>
            </w:r>
          </w:p>
        </w:tc>
      </w:tr>
      <w:tr>
        <w:tc>
          <w:tcPr/>
          <w:p>
            <w:pPr>
              <w:pStyle w:val="Compact"/>
              <w:jc w:val="left"/>
            </w:pPr>
            <w:r>
              <w:t xml:space="preserve">Right Helix</w:t>
            </w:r>
          </w:p>
        </w:tc>
        <w:tc>
          <w:tcPr/>
          <w:p>
            <w:pPr>
              <w:pStyle w:val="Compact"/>
              <w:jc w:val="center"/>
            </w:pPr>
            <w:r>
              <w:t xml:space="preserve">7</w:t>
            </w:r>
          </w:p>
        </w:tc>
      </w:tr>
      <w:tr>
        <w:tc>
          <w:tcPr/>
          <w:p>
            <w:pPr>
              <w:pStyle w:val="Compact"/>
              <w:jc w:val="left"/>
            </w:pPr>
            <w:r>
              <w:t xml:space="preserve">Left Helix</w:t>
            </w:r>
          </w:p>
        </w:tc>
        <w:tc>
          <w:tcPr/>
          <w:p>
            <w:pPr>
              <w:pStyle w:val="Compact"/>
              <w:jc w:val="center"/>
            </w:pPr>
            <w:r>
              <w:t xml:space="preserve">8</w:t>
            </w:r>
          </w:p>
        </w:tc>
      </w:tr>
      <w:tr>
        <w:tc>
          <w:tcPr/>
          <w:p>
            <w:pPr>
              <w:pStyle w:val="Compact"/>
              <w:jc w:val="left"/>
            </w:pPr>
            <w:r>
              <w:t xml:space="preserve">Asymmetrical</w:t>
            </w:r>
          </w:p>
        </w:tc>
        <w:tc>
          <w:tcPr/>
          <w:p>
            <w:pPr>
              <w:pStyle w:val="Compact"/>
              <w:jc w:val="center"/>
            </w:pPr>
            <w:r>
              <w:t xml:space="preserve">9</w:t>
            </w:r>
          </w:p>
        </w:tc>
      </w:tr>
    </w:tbl>
    <w:bookmarkEnd w:id="302"/>
    <w:bookmarkEnd w:id="303"/>
    <w:bookmarkStart w:id="305" w:name="incoherent-decompositions"/>
    <w:p>
      <w:pPr>
        <w:pStyle w:val="berschrift4"/>
      </w:pPr>
      <w:r>
        <w:t xml:space="preserve">Incoherent decompositions</w:t>
      </w:r>
    </w:p>
    <w:p>
      <w:pPr>
        <w:pStyle w:val="FirstParagraph"/>
      </w:pPr>
      <w:r>
        <w:t xml:space="preserve">Incoherent decompositions describe distributed targets in terms of scattering mechanisms and their diversity. They are generated from averaged Covariance, Coherence or Kennaugh matrices. As for examples, incoherent PRD could be (but not limited to):</w:t>
      </w:r>
    </w:p>
    <w:p>
      <w:pPr>
        <w:numPr>
          <w:ilvl w:val="0"/>
          <w:numId w:val="1098"/>
        </w:numPr>
      </w:pPr>
      <w:r>
        <w:t xml:space="preserve">Based and saved on intensity of scattering mechanisms can be</w:t>
      </w:r>
      <w:r>
        <w:t xml:space="preserve"> </w:t>
      </w:r>
      <w:r>
        <w:t xml:space="preserve">(</w:t>
      </w:r>
      <w:hyperlink w:anchor="ref-freeman1998">
        <w:r>
          <w:rPr>
            <w:rStyle w:val="Hyperlink"/>
          </w:rPr>
          <w:t xml:space="preserve">Freeman and Durden 1998</w:t>
        </w:r>
      </w:hyperlink>
      <w:r>
        <w:t xml:space="preserve">;</w:t>
      </w:r>
      <w:r>
        <w:t xml:space="preserve"> </w:t>
      </w:r>
      <w:hyperlink w:anchor="ref-yamaguchi2011">
        <w:r>
          <w:rPr>
            <w:rStyle w:val="Hyperlink"/>
          </w:rPr>
          <w:t xml:space="preserve">Yamaguchi et al. 2011</w:t>
        </w:r>
      </w:hyperlink>
      <w:r>
        <w:t xml:space="preserve">;</w:t>
      </w:r>
      <w:r>
        <w:t xml:space="preserve"> </w:t>
      </w:r>
      <w:hyperlink w:anchor="ref-raney2012">
        <w:r>
          <w:rPr>
            <w:rStyle w:val="Hyperlink"/>
          </w:rPr>
          <w:t xml:space="preserve">Raney et al. 2012</w:t>
        </w:r>
      </w:hyperlink>
      <w:r>
        <w:t xml:space="preserve">)</w:t>
      </w:r>
    </w:p>
    <w:bookmarkStart w:id="304" w:name="tbl:sar-pol-prd-tbl2"/>
    <w:p>
      <w:pPr>
        <w:pStyle w:val="Compact"/>
      </w:pPr>
      <w:r>
        <w:t xml:space="preserve">Table 3: Incoherent Decompositions: Freeman-Durden, Yamaguchi, m-chi</w:t>
      </w:r>
    </w:p>
    <w:tbl>
      <w:tblPr>
        <w:tblStyle w:val="Table"/>
        <w:tblW w:type="auto" w:w="0"/>
        <w:jc w:val="left"/>
        <w:tblInd w:w="720" w:type="dxa"/>
        <w:tblLook w:firstRow="1" w:lastRow="0" w:firstColumn="0" w:lastColumn="0" w:noHBand="0" w:noVBand="0" w:val="0020"/>
        <w:tblCaption w:val="Table 3: Incoherent Decompositions: Freeman-Durden, Yamaguchi, m-chi"/>
      </w:tblPr>
      <w:tblGrid>
        <w:gridCol w:w="1980"/>
        <w:gridCol w:w="1980"/>
        <w:gridCol w:w="1980"/>
        <w:gridCol w:w="1980"/>
      </w:tblGrid>
      <w:tr>
        <w:trPr>
          <w:tblHeader w:val="on"/>
        </w:trPr>
        <w:tc>
          <w:tcPr/>
          <w:p>
            <w:pPr>
              <w:pStyle w:val="Compact"/>
              <w:jc w:val="left"/>
            </w:pPr>
            <w:r>
              <w:t xml:space="preserve">Level 2b - Layers [Intensity]</w:t>
            </w:r>
          </w:p>
        </w:tc>
        <w:tc>
          <w:tcPr/>
          <w:p>
            <w:pPr>
              <w:pStyle w:val="Compact"/>
              <w:jc w:val="center"/>
            </w:pPr>
            <w:r>
              <w:t xml:space="preserve">Freeman-Durden</w:t>
            </w:r>
          </w:p>
        </w:tc>
        <w:tc>
          <w:tcPr/>
          <w:p>
            <w:pPr>
              <w:pStyle w:val="Compact"/>
              <w:jc w:val="center"/>
            </w:pPr>
            <w:r>
              <w:t xml:space="preserve">Yamaguchi</w:t>
            </w:r>
          </w:p>
        </w:tc>
        <w:tc>
          <w:tcPr/>
          <w:p>
            <w:pPr>
              <w:pStyle w:val="Compact"/>
              <w:jc w:val="center"/>
            </w:pPr>
            <w:r>
              <w:t xml:space="preserve">m-chi</w:t>
            </w:r>
          </w:p>
        </w:tc>
      </w:tr>
      <w:tr>
        <w:tc>
          <w:tcPr/>
          <w:p>
            <w:pPr>
              <w:pStyle w:val="Compact"/>
              <w:jc w:val="left"/>
            </w:pPr>
            <w:r>
              <w:t xml:space="preserve">Odd-bounce (surface/trihedral)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Even-bounce (dihedral)</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Random (volumetric)</w:t>
            </w:r>
          </w:p>
        </w:tc>
        <w:tc>
          <w:tcPr/>
          <w:p>
            <w:pPr>
              <w:pStyle w:val="Compact"/>
              <w:jc w:val="center"/>
            </w:pPr>
            <w:r>
              <w:t xml:space="preserve">X</w:t>
            </w:r>
          </w:p>
        </w:tc>
        <w:tc>
          <w:tcPr/>
          <w:p>
            <w:pPr>
              <w:pStyle w:val="Compact"/>
              <w:jc w:val="center"/>
            </w:pPr>
            <w:r>
              <w:t xml:space="preserve">X</w:t>
            </w:r>
          </w:p>
        </w:tc>
        <w:tc>
          <w:tcPr/>
          <w:p>
            <w:pPr>
              <w:pStyle w:val="Compact"/>
              <w:jc w:val="center"/>
            </w:pPr>
            <w:r>
              <w:t xml:space="preserve">X</w:t>
            </w:r>
          </w:p>
        </w:tc>
      </w:tr>
      <w:tr>
        <w:tc>
          <w:tcPr/>
          <w:p>
            <w:pPr>
              <w:pStyle w:val="Compact"/>
              <w:jc w:val="left"/>
            </w:pPr>
            <w:r>
              <w:t xml:space="preserve">Helix</w:t>
            </w:r>
          </w:p>
        </w:tc>
        <w:tc>
          <w:tcPr/>
          <w:p>
            <w:pPr>
              <w:pStyle w:val="Compact"/>
            </w:pPr>
          </w:p>
        </w:tc>
        <w:tc>
          <w:tcPr/>
          <w:p>
            <w:pPr>
              <w:pStyle w:val="Compact"/>
              <w:jc w:val="center"/>
            </w:pPr>
            <w:r>
              <w:t xml:space="preserve">X</w:t>
            </w:r>
          </w:p>
        </w:tc>
        <w:tc>
          <w:tcPr/>
          <w:p>
            <w:pPr>
              <w:pStyle w:val="Compact"/>
            </w:pPr>
          </w:p>
        </w:tc>
      </w:tr>
    </w:tbl>
    <w:bookmarkEnd w:id="304"/>
    <w:p>
      <w:pPr>
        <w:numPr>
          <w:ilvl w:val="0"/>
          <w:numId w:val="1098"/>
        </w:numPr>
      </w:pPr>
      <w:r>
        <w:t xml:space="preserve">Based on eigenvector-eigenvalue decomposition expressing the diversity of scattering mechanisms</w:t>
      </w:r>
      <w:r>
        <w:t xml:space="preserve"> </w:t>
      </w:r>
      <w:r>
        <w:t xml:space="preserve">(</w:t>
      </w:r>
      <w:hyperlink w:anchor="ref-cloude1996">
        <w:r>
          <w:rPr>
            <w:rStyle w:val="Hyperlink"/>
          </w:rPr>
          <w:t xml:space="preserve">Cloude and Pottier 1996</w:t>
        </w:r>
      </w:hyperlink>
      <w:r>
        <w:t xml:space="preserve">)</w:t>
      </w:r>
      <w:r>
        <w:t xml:space="preserve"> </w:t>
      </w:r>
      <w:r>
        <w:t xml:space="preserve">and types:</w:t>
      </w:r>
    </w:p>
    <w:p>
      <w:pPr>
        <w:pStyle w:val="Compact"/>
        <w:numPr>
          <w:ilvl w:val="1"/>
          <w:numId w:val="1099"/>
        </w:numPr>
      </w:pPr>
      <m:oMath>
        <m:r>
          <m:t>H</m:t>
        </m:r>
      </m:oMath>
      <w:r>
        <w:t xml:space="preserve"> </w:t>
      </w:r>
      <w:r>
        <w:t xml:space="preserve">: Entropy [ ] is the polarization diversity</w:t>
      </w:r>
    </w:p>
    <w:p>
      <w:pPr>
        <w:pStyle w:val="Compact"/>
        <w:numPr>
          <w:ilvl w:val="1"/>
          <w:numId w:val="1099"/>
        </w:numPr>
      </w:pPr>
      <m:oMath>
        <m:r>
          <m:t>A</m:t>
        </m:r>
      </m:oMath>
      <w:r>
        <w:t xml:space="preserve"> </w:t>
      </w:r>
      <w:r>
        <w:t xml:space="preserve">: Anisotropy [ ] is weighted difference between the 2ⁿᵈ and 3ʳᵈ eigenvalues</w:t>
      </w:r>
    </w:p>
    <w:p>
      <w:pPr>
        <w:pStyle w:val="Compact"/>
        <w:numPr>
          <w:ilvl w:val="1"/>
          <w:numId w:val="1099"/>
        </w:numPr>
      </w:pPr>
      <m:oMath>
        <m:r>
          <m:t>α</m:t>
        </m:r>
      </m:oMath>
      <w:r>
        <w:t xml:space="preserve"> </w:t>
      </w:r>
      <w:r>
        <w:t xml:space="preserve">: Odd-even bounce angle [Degrees]</w:t>
      </w:r>
    </w:p>
    <w:p>
      <w:pPr>
        <w:pStyle w:val="Compact"/>
        <w:numPr>
          <w:ilvl w:val="1"/>
          <w:numId w:val="1099"/>
        </w:numPr>
      </w:pPr>
      <m:oMath>
        <m:r>
          <m:t>β</m:t>
        </m:r>
      </m:oMath>
      <w:r>
        <w:t xml:space="preserve"> </w:t>
      </w:r>
      <w:r>
        <w:t xml:space="preserve">: orientation angle [Degrees]</w:t>
      </w:r>
    </w:p>
    <w:bookmarkEnd w:id="305"/>
    <w:bookmarkEnd w:id="306"/>
    <w:bookmarkStart w:id="315" w:name="sec:annex-sar-pol-examples"/>
    <w:p>
      <w:pPr>
        <w:pStyle w:val="berschrift3"/>
      </w:pPr>
      <w:r>
        <w:t xml:space="preserve">Polarimetric Radar Decomposition Product Examples</w:t>
      </w:r>
    </w:p>
    <w:p>
      <w:pPr>
        <w:pStyle w:val="FirstParagraph"/>
      </w:pPr>
      <w:r>
        <w:t xml:space="preserve">From fully polarimetric covariance matrix ARD format POL (Level-2a), it is possible to apply any version of the popular Yamaguchi methodology, which decomposes the polarimetric information under relative intensities of 4 scattering types: Odd bounce, Even bounce, Random (volume) and helix. Figure </w:t>
      </w:r>
      <w:hyperlink w:anchor="fig:sar-pol-examples-fig1">
        <w:r>
          <w:rPr>
            <w:rStyle w:val="Hyperlink"/>
          </w:rPr>
          <w:t xml:space="preserve">1</w:t>
        </w:r>
      </w:hyperlink>
      <w:r>
        <w:t xml:space="preserve">b shows HH intensity of a RADARSAT fully polarimetric acquired over a Spanish area. Decomposition using Yamaguchi methodology</w:t>
      </w:r>
      <w:r>
        <w:t xml:space="preserve"> </w:t>
      </w:r>
      <w:r>
        <w:t xml:space="preserve">(</w:t>
      </w:r>
      <w:hyperlink w:anchor="ref-yamaguchi2011">
        <w:r>
          <w:rPr>
            <w:rStyle w:val="Hyperlink"/>
          </w:rPr>
          <w:t xml:space="preserve">Yamaguchi et al. 2011</w:t>
        </w:r>
      </w:hyperlink>
      <w:r>
        <w:t xml:space="preserve">)</w:t>
      </w:r>
      <w:r>
        <w:t xml:space="preserve"> </w:t>
      </w:r>
      <w:r>
        <w:t xml:space="preserve">can be expressed in RGB colour composite (Figure </w:t>
      </w:r>
      <w:hyperlink w:anchor="fig:sar-pol-examples-fig1">
        <w:r>
          <w:rPr>
            <w:rStyle w:val="Hyperlink"/>
          </w:rPr>
          <w:t xml:space="preserve">1</w:t>
        </w:r>
      </w:hyperlink>
      <w:r>
        <w:t xml:space="preserve">c) where Red channel refers to even bounce scattering like urban area; Green channel is random scattering like vegetation; and Blue channel is odd bounce scattering like bare soil. Figure </w:t>
      </w:r>
      <w:hyperlink w:anchor="fig:sar-pol-examples-fig1">
        <w:r>
          <w:rPr>
            <w:rStyle w:val="Hyperlink"/>
          </w:rPr>
          <w:t xml:space="preserve">1</w:t>
        </w:r>
      </w:hyperlink>
      <w:r>
        <w:t xml:space="preserve">d is equivalent to c) where radiometric normalisation (terrain flattening) has been applied with the help of the DEM of the scene (Figure </w:t>
      </w:r>
      <w:hyperlink w:anchor="fig:sar-pol-examples-fig1">
        <w:r>
          <w:rPr>
            <w:rStyle w:val="Hyperlink"/>
          </w:rPr>
          <w:t xml:space="preserve">1</w:t>
        </w:r>
      </w:hyperlink>
      <w:r>
        <w:t xml:space="preserve">a).</w:t>
      </w:r>
    </w:p>
    <w:bookmarkStart w:id="310" w:name="fig:sar-pol-examples-fig1"/>
    <w:p>
      <w:pPr>
        <w:pStyle w:val="CaptionedFigure"/>
      </w:pPr>
      <w:r>
        <w:drawing>
          <wp:inline>
            <wp:extent cx="5724525" cy="5629275"/>
            <wp:effectExtent b="0" l="0" r="0" t="0"/>
            <wp:docPr descr="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 title="" id="308" name="Picture"/>
            <a:graphic>
              <a:graphicData uri="http://schemas.openxmlformats.org/drawingml/2006/picture">
                <pic:pic>
                  <pic:nvPicPr>
                    <pic:cNvPr descr="assets/sar-pol-examples/pol-decomposition.jpeg" id="309" name="Picture"/>
                    <pic:cNvPicPr>
                      <a:picLocks noChangeArrowheads="1" noChangeAspect="1"/>
                    </pic:cNvPicPr>
                  </pic:nvPicPr>
                  <pic:blipFill>
                    <a:blip r:embed="rId307"/>
                    <a:stretch>
                      <a:fillRect/>
                    </a:stretch>
                  </pic:blipFill>
                  <pic:spPr bwMode="auto">
                    <a:xfrm>
                      <a:off x="0" y="0"/>
                      <a:ext cx="5724525" cy="5629275"/>
                    </a:xfrm>
                    <a:prstGeom prst="rect">
                      <a:avLst/>
                    </a:prstGeom>
                    <a:noFill/>
                    <a:ln w="9525">
                      <a:noFill/>
                      <a:headEnd/>
                      <a:tailEnd/>
                    </a:ln>
                  </pic:spPr>
                </pic:pic>
              </a:graphicData>
            </a:graphic>
          </wp:inline>
        </w:drawing>
      </w:r>
    </w:p>
    <w:p>
      <w:pPr>
        <w:pStyle w:val="ImageCaption"/>
      </w:pPr>
      <w:r>
        <w:t xml:space="preserve">Figure 1: Example of polarimetric decomposition generated from ARD covariance format. a) Shaded DEM of the area; b) RADARSAT-2 HH intensity; c) Yamaguchi decomposition colour composite (Red: even bounce, Green: random, Blue: odd bounce); d) Same as c) with terrain flattening option. Generated from Radarsat-2 FQ18W acquired over Murcia, Spain on 18 June 2014 - ©MDA 2014</w:t>
      </w:r>
    </w:p>
    <w:bookmarkEnd w:id="310"/>
    <w:p>
      <w:pPr>
        <w:pStyle w:val="Textkrper"/>
      </w:pPr>
      <w:r>
        <w:t xml:space="preserve">Figure </w:t>
      </w:r>
      <w:hyperlink w:anchor="fig:sar-pol-examples-fig2">
        <w:r>
          <w:rPr>
            <w:rStyle w:val="Hyperlink"/>
          </w:rPr>
          <w:t xml:space="preserve">2</w:t>
        </w:r>
      </w:hyperlink>
      <w:r>
        <w:t xml:space="preserve"> </w:t>
      </w:r>
      <w:r>
        <w:t xml:space="preserve">is a PRD compact polarimetric m-chi decomposition</w:t>
      </w:r>
      <w:r>
        <w:t xml:space="preserve"> </w:t>
      </w:r>
      <w:r>
        <w:t xml:space="preserve">(</w:t>
      </w:r>
      <w:hyperlink w:anchor="ref-raney2012">
        <w:r>
          <w:rPr>
            <w:rStyle w:val="Hyperlink"/>
          </w:rPr>
          <w:t xml:space="preserve">Raney et al. 2012</w:t>
        </w:r>
      </w:hyperlink>
      <w:r>
        <w:t xml:space="preserve">)</w:t>
      </w:r>
      <w:r>
        <w:t xml:space="preserve"> </w:t>
      </w:r>
      <w:r>
        <w:t xml:space="preserve">simulated from two Canadian prairies Radarsat-2 fully polarimetric scenes acquired in May and June 2012. In May, before the growing season Figure </w:t>
      </w:r>
      <w:hyperlink w:anchor="fig:sar-pol-examples-fig2">
        <w:r>
          <w:rPr>
            <w:rStyle w:val="Hyperlink"/>
          </w:rPr>
          <w:t xml:space="preserve">2</w:t>
        </w:r>
      </w:hyperlink>
      <w:r>
        <w:t xml:space="preserve">a, m-chi shows mainly surface scattering from bare soil (blue channel) and vegetation interaction from forested areas (green channel), while in June Figure </w:t>
      </w:r>
      <w:hyperlink w:anchor="fig:sar-pol-examples-fig2">
        <w:r>
          <w:rPr>
            <w:rStyle w:val="Hyperlink"/>
          </w:rPr>
          <w:t xml:space="preserve">2</w:t>
        </w:r>
      </w:hyperlink>
      <w:r>
        <w:t xml:space="preserve">b growth of vegetation modifies the radar signal with interacting media function of the vegetation density and geometry which increase the amount of even bounce (red channel) and random scattering.</w:t>
      </w:r>
    </w:p>
    <w:bookmarkStart w:id="314" w:name="fig:sar-pol-examples-fig2"/>
    <w:p>
      <w:pPr>
        <w:pStyle w:val="CaptionedFigure"/>
      </w:pPr>
      <w:r>
        <w:drawing>
          <wp:inline>
            <wp:extent cx="5727700" cy="2887518"/>
            <wp:effectExtent b="0" l="0" r="0" t="0"/>
            <wp:docPr descr="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 title="" id="312" name="Picture"/>
            <a:graphic>
              <a:graphicData uri="http://schemas.openxmlformats.org/drawingml/2006/picture">
                <pic:pic>
                  <pic:nvPicPr>
                    <pic:cNvPr descr="assets/sar-pol-examples/m-chi-decomposition.jpeg" id="313" name="Picture"/>
                    <pic:cNvPicPr>
                      <a:picLocks noChangeArrowheads="1" noChangeAspect="1"/>
                    </pic:cNvPicPr>
                  </pic:nvPicPr>
                  <pic:blipFill>
                    <a:blip r:embed="rId311"/>
                    <a:stretch>
                      <a:fillRect/>
                    </a:stretch>
                  </pic:blipFill>
                  <pic:spPr bwMode="auto">
                    <a:xfrm>
                      <a:off x="0" y="0"/>
                      <a:ext cx="5727700" cy="2887518"/>
                    </a:xfrm>
                    <a:prstGeom prst="rect">
                      <a:avLst/>
                    </a:prstGeom>
                    <a:noFill/>
                    <a:ln w="9525">
                      <a:noFill/>
                      <a:headEnd/>
                      <a:tailEnd/>
                    </a:ln>
                  </pic:spPr>
                </pic:pic>
              </a:graphicData>
            </a:graphic>
          </wp:inline>
        </w:drawing>
      </w:r>
    </w:p>
    <w:p>
      <w:pPr>
        <w:pStyle w:val="ImageCaption"/>
      </w:pPr>
      <w:r>
        <w:t xml:space="preserve">Figure 2: m-chi decomposition colour composite of simulated compact polarimetry from Radarsat-2 over an agriculture area. RGB representation: Red: even bounce, Green: random, Blue: odd bounce. a) 3 May 2012; and b) 18 June 2012. Generated from Radarsat-2 FQ6W acquired over SMAPVEX12 campaign Manitoba, Canada on 3 May and 20 June 2012 - ©MDA 2012</w:t>
      </w:r>
    </w:p>
    <w:bookmarkEnd w:id="314"/>
    <w:bookmarkEnd w:id="315"/>
    <w:bookmarkEnd w:id="316"/>
    <w:bookmarkEnd w:id="317"/>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4">
    <w:p>
      <w:pPr>
        <w:pStyle w:val="Funotentext"/>
      </w:pPr>
      <w:r>
        <w:rPr>
          <w:rStyle w:val="Funotenzeichen"/>
        </w:rPr>
        <w:footnoteRef/>
      </w:r>
      <w:r>
        <w:t xml:space="preserve"> </w:t>
      </w:r>
      <w:r>
        <w:t xml:space="preserve">For data crossing the North or South Pole, it is recommended to produce two distinct products and to use the appropriate</w:t>
      </w:r>
      <w:r>
        <w:t xml:space="preserve"> </w:t>
      </w:r>
      <w:r>
        <w:t xml:space="preserve">“Pass direction”</w:t>
      </w:r>
      <w:r>
        <w:t xml:space="preserve"> </w:t>
      </w:r>
      <w:r>
        <w:t xml:space="preserve">in each.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image" Id="rId311" Target="media/rId311.jpg" /><Relationship Type="http://schemas.openxmlformats.org/officeDocument/2006/relationships/image" Id="rId307" Target="media/rId307.jpg" /><Relationship Type="http://schemas.openxmlformats.org/officeDocument/2006/relationships/hyperlink" Id="rId249"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5" Target="https://doi.org/10.1029/2011JE003986" TargetMode="External" /><Relationship Type="http://schemas.openxmlformats.org/officeDocument/2006/relationships/hyperlink" Id="rId259" Target="https://doi.org/10.1080/2150704X.2012.687470" TargetMode="External" /><Relationship Type="http://schemas.openxmlformats.org/officeDocument/2006/relationships/hyperlink" Id="rId255" Target="https://doi.org/10.1109/36.485127" TargetMode="External" /><Relationship Type="http://schemas.openxmlformats.org/officeDocument/2006/relationships/hyperlink" Id="rId253" Target="https://doi.org/10.1109/36.499784" TargetMode="External" /><Relationship Type="http://schemas.openxmlformats.org/officeDocument/2006/relationships/hyperlink" Id="rId257" Target="https://doi.org/10.1109/36.673687" TargetMode="External" /><Relationship Type="http://schemas.openxmlformats.org/officeDocument/2006/relationships/hyperlink" Id="rId275"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3" Target="https://doi.org/10.1109/TGRS.2010.2099124" TargetMode="External" /><Relationship Type="http://schemas.openxmlformats.org/officeDocument/2006/relationships/hyperlink" Id="rId269" Target="https://doi.org/10.1109/TGRS.2011.2120616" TargetMode="External" /><Relationship Type="http://schemas.openxmlformats.org/officeDocument/2006/relationships/hyperlink" Id="rId271" Target="https://doi.org/10.1109/TGRS.2012.2233206" TargetMode="External" /><Relationship Type="http://schemas.openxmlformats.org/officeDocument/2006/relationships/hyperlink" Id="rId267" Target="https://doi.org/10.1109/TGRS.2022.3147472"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49" Target="https://ceos.org/ard/files/CEOS_ARD_Governance_Framework_18-October-2021.pdf" TargetMode="External" /><Relationship Type="http://schemas.openxmlformats.org/officeDocument/2006/relationships/hyperlink" Id="rId62" Target="https://ceos.org/mim-database/" TargetMode="External" /><Relationship Type="http://schemas.openxmlformats.org/officeDocument/2006/relationships/hyperlink" Id="rId265" Target="https://doi.org/10.1029/2011JE003986" TargetMode="External" /><Relationship Type="http://schemas.openxmlformats.org/officeDocument/2006/relationships/hyperlink" Id="rId259" Target="https://doi.org/10.1080/2150704X.2012.687470" TargetMode="External" /><Relationship Type="http://schemas.openxmlformats.org/officeDocument/2006/relationships/hyperlink" Id="rId255" Target="https://doi.org/10.1109/36.485127" TargetMode="External" /><Relationship Type="http://schemas.openxmlformats.org/officeDocument/2006/relationships/hyperlink" Id="rId253" Target="https://doi.org/10.1109/36.499784" TargetMode="External" /><Relationship Type="http://schemas.openxmlformats.org/officeDocument/2006/relationships/hyperlink" Id="rId257" Target="https://doi.org/10.1109/36.673687" TargetMode="External" /><Relationship Type="http://schemas.openxmlformats.org/officeDocument/2006/relationships/hyperlink" Id="rId275" Target="https://doi.org/10.1109/LGRS.2017.2753580" TargetMode="External" /><Relationship Type="http://schemas.openxmlformats.org/officeDocument/2006/relationships/hyperlink" Id="rId263" Target="https://doi.org/10.1109/TGRS.2008.2002881" TargetMode="External" /><Relationship Type="http://schemas.openxmlformats.org/officeDocument/2006/relationships/hyperlink" Id="rId277" Target="https://doi.org/10.1109/TGRS.2010.2051333" TargetMode="External" /><Relationship Type="http://schemas.openxmlformats.org/officeDocument/2006/relationships/hyperlink" Id="rId273" Target="https://doi.org/10.1109/TGRS.2010.2099124" TargetMode="External" /><Relationship Type="http://schemas.openxmlformats.org/officeDocument/2006/relationships/hyperlink" Id="rId269" Target="https://doi.org/10.1109/TGRS.2011.2120616" TargetMode="External" /><Relationship Type="http://schemas.openxmlformats.org/officeDocument/2006/relationships/hyperlink" Id="rId271" Target="https://doi.org/10.1109/TGRS.2012.2233206" TargetMode="External" /><Relationship Type="http://schemas.openxmlformats.org/officeDocument/2006/relationships/hyperlink" Id="rId267" Target="https://doi.org/10.1109/TGRS.2022.3147472"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Synthetic Aperture Radar - Polarimetric Radar - Version 1.2-draft</dc:title>
  <dc:creator/>
  <dc:language>en</dc:language>
  <cp:keywords/>
  <dcterms:created xsi:type="dcterms:W3CDTF">2025-10-22T21:31:56Z</dcterms:created>
  <dcterms:modified xsi:type="dcterms:W3CDTF">2025-10-22T21:31:56Z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/home/runner/work/ceos-ard/ceos-ard/build/SAR-POL.bib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