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79" w:name="ceos-ard---optical---surface-reflectance"/>
    <w:p>
      <w:pPr>
        <w:pStyle w:val="berschrift1"/>
      </w:pPr>
      <w:r>
        <w:t xml:space="preserve">CEOS-ARD - Optical - Surface Reflectance</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Optical, Surface Reflectance</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5" w:name="document-history"/>
    <w:p>
      <w:pPr>
        <w:pStyle w:val="berschrift2"/>
      </w:pPr>
      <w:r>
        <w:t xml:space="preserve">Document History</w:t>
      </w:r>
    </w:p>
    <w:p>
      <w:pPr>
        <w:pStyle w:val="FirstParagraph"/>
      </w:pPr>
      <w:r>
        <w:t xml:space="preserve">Not available yet</w:t>
      </w:r>
    </w:p>
    <w:bookmarkEnd w:id="25"/>
    <w:bookmarkStart w:id="26" w:name="contributing-authors"/>
    <w:p>
      <w:pPr>
        <w:pStyle w:val="berschrift2"/>
      </w:pPr>
      <w:r>
        <w:t xml:space="preserve">Contributing Authors</w:t>
      </w:r>
    </w:p>
    <w:p>
      <w:pPr>
        <w:pStyle w:val="Compact"/>
        <w:numPr>
          <w:ilvl w:val="0"/>
          <w:numId w:val="1001"/>
        </w:numPr>
      </w:pPr>
      <w:r>
        <w:t xml:space="preserve">Adam Lewis, Geoscience Australia, Australia</w:t>
      </w:r>
    </w:p>
    <w:p>
      <w:pPr>
        <w:pStyle w:val="Compact"/>
        <w:numPr>
          <w:ilvl w:val="0"/>
          <w:numId w:val="1001"/>
        </w:numPr>
      </w:pPr>
      <w:r>
        <w:t xml:space="preserve">Jonathon Ross, Geoscience Australia, Australia</w:t>
      </w:r>
    </w:p>
    <w:p>
      <w:pPr>
        <w:pStyle w:val="Compact"/>
        <w:numPr>
          <w:ilvl w:val="0"/>
          <w:numId w:val="1001"/>
        </w:numPr>
      </w:pPr>
      <w:r>
        <w:t xml:space="preserve">Andreia Siqueira, Geoscience Australia, Australia</w:t>
      </w:r>
    </w:p>
    <w:p>
      <w:pPr>
        <w:pStyle w:val="Compact"/>
        <w:numPr>
          <w:ilvl w:val="0"/>
          <w:numId w:val="1001"/>
        </w:numPr>
      </w:pPr>
      <w:r>
        <w:t xml:space="preserve">Darcie Bontje, USGS, USA</w:t>
      </w:r>
    </w:p>
    <w:p>
      <w:pPr>
        <w:pStyle w:val="Compact"/>
        <w:numPr>
          <w:ilvl w:val="0"/>
          <w:numId w:val="1001"/>
        </w:numPr>
      </w:pPr>
      <w:r>
        <w:t xml:space="preserve">Steve Labahn, USGS, USA</w:t>
      </w:r>
    </w:p>
    <w:p>
      <w:pPr>
        <w:pStyle w:val="Compact"/>
        <w:numPr>
          <w:ilvl w:val="0"/>
          <w:numId w:val="1001"/>
        </w:numPr>
      </w:pPr>
      <w:r>
        <w:t xml:space="preserve">Mary Metzger, USGS, USA</w:t>
      </w:r>
    </w:p>
    <w:p>
      <w:pPr>
        <w:pStyle w:val="Compact"/>
        <w:numPr>
          <w:ilvl w:val="0"/>
          <w:numId w:val="1001"/>
        </w:numPr>
      </w:pPr>
      <w:r>
        <w:t xml:space="preserve">Matt Steventon, LSI-VC Secretariat</w:t>
      </w:r>
    </w:p>
    <w:p>
      <w:r>
        <w:br w:type="page"/>
      </w:r>
    </w:p>
    <w:bookmarkEnd w:id="26"/>
    <w:bookmarkStart w:id="27"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7"/>
    <w:bookmarkStart w:id="28" w:name="description"/>
    <w:p>
      <w:pPr>
        <w:pStyle w:val="berschrift2"/>
      </w:pPr>
      <w:r>
        <w:t xml:space="preserve">Description</w:t>
      </w:r>
    </w:p>
    <w:p>
      <w:pPr>
        <w:pStyle w:val="FirstParagraph"/>
      </w:pPr>
      <w:r>
        <w:rPr>
          <w:b/>
          <w:bCs/>
        </w:rPr>
        <w:t xml:space="preserve">Product Family Specification:</w:t>
      </w:r>
      <w:r>
        <w:t xml:space="preserve"> </w:t>
      </w:r>
      <w:r>
        <w:t xml:space="preserve">Optical, Surface Reflectance (SR)</w:t>
      </w:r>
    </w:p>
    <w:p>
      <w:pPr>
        <w:pStyle w:val="Textkrper"/>
      </w:pPr>
      <w:r>
        <w:rPr>
          <w:b/>
          <w:bCs/>
        </w:rPr>
        <w:t xml:space="preserve">Version:</w:t>
      </w:r>
      <w:r>
        <w:t xml:space="preserve"> </w:t>
      </w:r>
      <w:r>
        <w:t xml:space="preserve">5.1-draft</w:t>
      </w:r>
    </w:p>
    <w:p>
      <w:pPr>
        <w:pStyle w:val="Textkrper"/>
      </w:pPr>
      <w:r>
        <w:rPr>
          <w:b/>
          <w:bCs/>
        </w:rPr>
        <w:t xml:space="preserve">Applies to:</w:t>
      </w:r>
      <w:r>
        <w:t xml:space="preserve"> </w:t>
      </w:r>
      <w:r>
        <w:t xml:space="preserve">Data collected by Optical sensors</w:t>
      </w:r>
    </w:p>
    <w:bookmarkEnd w:id="28"/>
    <w:bookmarkStart w:id="29" w:name="background"/>
    <w:p>
      <w:pPr>
        <w:pStyle w:val="berschrift2"/>
      </w:pPr>
      <w:r>
        <w:t xml:space="preserve">Background</w:t>
      </w:r>
    </w:p>
    <w:p>
      <w:pPr>
        <w:pStyle w:val="FirstParagraph"/>
      </w:pPr>
      <w:r>
        <w:t xml:space="preserve">Data collected with multispectral optical sensors operating in the VIS/NIR/SWIR wavelengths at all ground sample distances and resolutions.</w:t>
      </w:r>
    </w:p>
    <w:p>
      <w:r>
        <w:br w:type="page"/>
      </w:r>
    </w:p>
    <w:bookmarkEnd w:id="29"/>
    <w:bookmarkStart w:id="30" w:name="definitions-and-abbreviations"/>
    <w:p>
      <w:pPr>
        <w:pStyle w:val="berschrift2"/>
      </w:pPr>
      <w:r>
        <w:t xml:space="preserve">Definitions and Abbreviations</w:t>
      </w:r>
    </w:p>
    <w:p>
      <w:pPr>
        <w:pStyle w:val="DefinitionTerm"/>
      </w:pPr>
      <w:r>
        <w:t xml:space="preserve">CEOS-ARD</w:t>
      </w:r>
    </w:p>
    <w:p>
      <w:pPr>
        <w:pStyle w:val="Definition"/>
      </w:pPr>
      <w:r>
        <w:t xml:space="preserve">Committee on Earth Observation Satellites - Analysis Ready Data</w:t>
      </w:r>
    </w:p>
    <w:p>
      <w:pPr>
        <w:pStyle w:val="DefinitionTerm"/>
      </w:pPr>
      <w:r>
        <w:t xml:space="preserve">DOI</w:t>
      </w:r>
    </w:p>
    <w:p>
      <w:pPr>
        <w:pStyle w:val="Definition"/>
      </w:pPr>
      <w:r>
        <w:t xml:space="preserve">Digital Object Identifier</w:t>
      </w:r>
    </w:p>
    <w:p>
      <w:pPr>
        <w:pStyle w:val="DefinitionTerm"/>
      </w:pPr>
      <w:r>
        <w:t xml:space="preserve">NIR</w:t>
      </w:r>
    </w:p>
    <w:p>
      <w:pPr>
        <w:pStyle w:val="Definition"/>
      </w:pPr>
      <w:r>
        <w:t xml:space="preserve">Near Infrared</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SR</w:t>
      </w:r>
    </w:p>
    <w:p>
      <w:pPr>
        <w:pStyle w:val="Definition"/>
      </w:pPr>
      <w:r>
        <w:t xml:space="preserve">Surface Reflectance</w:t>
      </w:r>
    </w:p>
    <w:p>
      <w:pPr>
        <w:pStyle w:val="DefinitionTerm"/>
      </w:pPr>
      <w:r>
        <w:t xml:space="preserve">SWIR</w:t>
      </w:r>
    </w:p>
    <w:p>
      <w:pPr>
        <w:pStyle w:val="Definition"/>
      </w:pPr>
      <w:r>
        <w:t xml:space="preserve">Shortwave Infrared</w:t>
      </w:r>
    </w:p>
    <w:p>
      <w:pPr>
        <w:pStyle w:val="DefinitionTerm"/>
      </w:pPr>
      <w:r>
        <w:t xml:space="preserve">VIS</w:t>
      </w:r>
    </w:p>
    <w:p>
      <w:pPr>
        <w:pStyle w:val="Definition"/>
      </w:pPr>
      <w:r>
        <w:t xml:space="preserve">Visible</w:t>
      </w:r>
    </w:p>
    <w:p>
      <w:r>
        <w:br w:type="page"/>
      </w:r>
    </w:p>
    <w:bookmarkEnd w:id="30"/>
    <w:bookmarkStart w:id="61"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35"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4" w:name="sec:meta.metadata-traceability"/>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meta.metadata-traceability</w:t>
      </w:r>
    </w:p>
    <w:bookmarkStart w:id="31" w:name="threshold-requirements"/>
    <w:p>
      <w:pPr>
        <w:pStyle w:val="berschrift5"/>
      </w:pPr>
      <w:r>
        <w:t xml:space="preserve">Threshold requirements:</w:t>
      </w:r>
    </w:p>
    <w:p>
      <w:pPr>
        <w:pStyle w:val="FirstParagraph"/>
      </w:pPr>
      <w:r>
        <w:t xml:space="preserve">Not required.</w:t>
      </w:r>
      <w:r>
        <w:t xml:space="preserve"> </w:t>
      </w:r>
    </w:p>
    <w:bookmarkEnd w:id="31"/>
    <w:bookmarkStart w:id="32"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2"/>
        </w:numPr>
      </w:pPr>
      <w:r>
        <w:t xml:space="preserve">Relationship to Section </w:t>
      </w:r>
      <w:r>
        <w:t xml:space="preserve">“</w:t>
      </w:r>
      <w:hyperlink w:anchor="sec:rac.measurements-uncertainty">
        <w:r>
          <w:rPr>
            <w:rStyle w:val="Hyperlink"/>
          </w:rPr>
          <w:t xml:space="preserve">Radiometric and Atmospheric Corrections: Measurement Uncertainty</w:t>
        </w:r>
      </w:hyperlink>
      <w:r>
        <w:t xml:space="preserve">”</w:t>
      </w:r>
      <w:r>
        <w:t xml:space="preserve">. Traceability requires an estimate of measurement uncertainty.</w:t>
      </w:r>
    </w:p>
    <w:p>
      <w:pPr>
        <w:pStyle w:val="Compact"/>
        <w:numPr>
          <w:ilvl w:val="0"/>
          <w:numId w:val="1002"/>
        </w:numPr>
      </w:pPr>
      <w:r>
        <w:t xml:space="preserve">Information on traceability should be available in the metadata as a single DOI landing page.</w:t>
      </w:r>
    </w:p>
    <w:bookmarkEnd w:id="32"/>
    <w:bookmarkStart w:id="33" w:name="assessment"/>
    <w:p>
      <w:pPr>
        <w:pStyle w:val="berschrift5"/>
      </w:pPr>
      <w:r>
        <w:t xml:space="preserve">Assessment:</w:t>
      </w:r>
    </w:p>
    <w:p>
      <w:pPr>
        <w:pStyle w:val="Compact"/>
        <w:numPr>
          <w:ilvl w:val="0"/>
          <w:numId w:val="1003"/>
        </w:numPr>
      </w:pPr>
      <w:r>
        <w:t xml:space="preserve">Threshold Self-Assessment:</w:t>
      </w:r>
    </w:p>
    <w:p>
      <w:pPr>
        <w:pStyle w:val="Compact"/>
        <w:numPr>
          <w:ilvl w:val="0"/>
          <w:numId w:val="1003"/>
        </w:numPr>
      </w:pPr>
      <w:r>
        <w:t xml:space="preserve">Goal Self-Assessment:</w:t>
      </w:r>
    </w:p>
    <w:p>
      <w:pPr>
        <w:pStyle w:val="Compact"/>
        <w:numPr>
          <w:ilvl w:val="0"/>
          <w:numId w:val="1003"/>
        </w:numPr>
      </w:pPr>
      <w:r>
        <w:t xml:space="preserve">Self-Assessment Explanation/ Justification:</w:t>
      </w:r>
    </w:p>
    <w:p>
      <w:pPr>
        <w:pStyle w:val="Compact"/>
        <w:numPr>
          <w:ilvl w:val="0"/>
          <w:numId w:val="1003"/>
        </w:numPr>
      </w:pPr>
      <w:r>
        <w:t xml:space="preserve">Recommended Requirement Modification:</w:t>
      </w:r>
    </w:p>
    <w:bookmarkEnd w:id="33"/>
    <w:bookmarkEnd w:id="34"/>
    <w:bookmarkEnd w:id="35"/>
    <w:bookmarkStart w:id="40"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39" w:name="sec:src.example"/>
    <w:p>
      <w:pPr>
        <w:pStyle w:val="berschrift4"/>
      </w:pPr>
      <w:r>
        <w:rPr>
          <w:rStyle w:val="VerbatimChar"/>
        </w:rPr>
        <w:t xml:space="preserve">2.1.</w:t>
      </w:r>
      <w:r>
        <w:t xml:space="preserve"> </w:t>
      </w:r>
      <w:r>
        <w:t xml:space="preserve">Example Requirement</w:t>
      </w:r>
    </w:p>
    <w:p>
      <w:pPr>
        <w:pStyle w:val="FirstParagraph"/>
      </w:pPr>
      <w:r>
        <w:t xml:space="preserve">Identifier:</w:t>
      </w:r>
      <w:r>
        <w:t xml:space="preserve"> </w:t>
      </w:r>
      <w:r>
        <w:rPr>
          <w:rStyle w:val="VerbatimChar"/>
        </w:rPr>
        <w:t xml:space="preserve">src.example</w:t>
      </w:r>
    </w:p>
    <w:p>
      <w:pPr>
        <w:pStyle w:val="Textkrper"/>
      </w:pPr>
      <w:r>
        <w:t xml:space="preserve">This is an example requirement.</w:t>
      </w:r>
    </w:p>
    <w:bookmarkStart w:id="36" w:name="threshold-requirements-1"/>
    <w:p>
      <w:pPr>
        <w:pStyle w:val="berschrift5"/>
      </w:pPr>
      <w:r>
        <w:t xml:space="preserve">Threshold requirements:</w:t>
      </w:r>
    </w:p>
    <w:p>
      <w:pPr>
        <w:pStyle w:val="FirstParagraph"/>
      </w:pPr>
      <w:r>
        <w:t xml:space="preserve">This is a threshold requirement.</w:t>
      </w:r>
    </w:p>
    <w:bookmarkEnd w:id="36"/>
    <w:bookmarkStart w:id="37" w:name="goal-requirements-1"/>
    <w:p>
      <w:pPr>
        <w:pStyle w:val="berschrift5"/>
      </w:pPr>
      <w:r>
        <w:t xml:space="preserve">Goal requirements:</w:t>
      </w:r>
    </w:p>
    <w:p>
      <w:pPr>
        <w:pStyle w:val="FirstParagraph"/>
      </w:pPr>
      <w:r>
        <w:t xml:space="preserve">This is a goal requirement.</w:t>
      </w:r>
    </w:p>
    <w:p>
      <w:pPr>
        <w:pStyle w:val="Textkrper"/>
      </w:pPr>
      <w:r>
        <w:t xml:space="preserve">Notes:</w:t>
      </w:r>
    </w:p>
    <w:p>
      <w:pPr>
        <w:pStyle w:val="Compact"/>
        <w:numPr>
          <w:ilvl w:val="0"/>
          <w:numId w:val="1004"/>
        </w:numPr>
      </w:pPr>
      <w:r>
        <w:t xml:space="preserve">This is a note.</w:t>
      </w:r>
    </w:p>
    <w:bookmarkEnd w:id="37"/>
    <w:bookmarkStart w:id="38"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bookmarkEnd w:id="38"/>
    <w:bookmarkEnd w:id="39"/>
    <w:bookmarkEnd w:id="40"/>
    <w:bookmarkStart w:id="45"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44" w:name="sec:prd.example"/>
    <w:p>
      <w:pPr>
        <w:pStyle w:val="berschrift4"/>
      </w:pPr>
      <w:r>
        <w:rPr>
          <w:rStyle w:val="VerbatimChar"/>
        </w:rPr>
        <w:t xml:space="preserve">3.1.</w:t>
      </w:r>
      <w:r>
        <w:t xml:space="preserve"> </w:t>
      </w:r>
      <w:r>
        <w:t xml:space="preserve">Example Requirement</w:t>
      </w:r>
    </w:p>
    <w:p>
      <w:pPr>
        <w:pStyle w:val="FirstParagraph"/>
      </w:pPr>
      <w:r>
        <w:t xml:space="preserve">Identifier:</w:t>
      </w:r>
      <w:r>
        <w:t xml:space="preserve"> </w:t>
      </w:r>
      <w:r>
        <w:rPr>
          <w:rStyle w:val="VerbatimChar"/>
        </w:rPr>
        <w:t xml:space="preserve">prd.example</w:t>
      </w:r>
    </w:p>
    <w:p>
      <w:pPr>
        <w:pStyle w:val="Textkrper"/>
      </w:pPr>
      <w:r>
        <w:t xml:space="preserve">This is an example requirement.</w:t>
      </w:r>
    </w:p>
    <w:bookmarkStart w:id="41" w:name="threshold-requirements-2"/>
    <w:p>
      <w:pPr>
        <w:pStyle w:val="berschrift5"/>
      </w:pPr>
      <w:r>
        <w:t xml:space="preserve">Threshold requirements:</w:t>
      </w:r>
    </w:p>
    <w:p>
      <w:pPr>
        <w:pStyle w:val="FirstParagraph"/>
      </w:pPr>
      <w:r>
        <w:t xml:space="preserve">This is a threshold requirement.</w:t>
      </w:r>
    </w:p>
    <w:bookmarkEnd w:id="41"/>
    <w:bookmarkStart w:id="42" w:name="goal-requirements-2"/>
    <w:p>
      <w:pPr>
        <w:pStyle w:val="berschrift5"/>
      </w:pPr>
      <w:r>
        <w:t xml:space="preserve">Goal requirements:</w:t>
      </w:r>
    </w:p>
    <w:p>
      <w:pPr>
        <w:pStyle w:val="FirstParagraph"/>
      </w:pPr>
      <w:r>
        <w:t xml:space="preserve">This is a goal requirement.</w:t>
      </w:r>
    </w:p>
    <w:p>
      <w:pPr>
        <w:pStyle w:val="Textkrper"/>
      </w:pPr>
      <w:r>
        <w:t xml:space="preserve">Notes:</w:t>
      </w:r>
    </w:p>
    <w:p>
      <w:pPr>
        <w:pStyle w:val="Compact"/>
        <w:numPr>
          <w:ilvl w:val="0"/>
          <w:numId w:val="1006"/>
        </w:numPr>
      </w:pPr>
      <w:r>
        <w:t xml:space="preserve">This is a note.</w:t>
      </w:r>
    </w:p>
    <w:bookmarkEnd w:id="42"/>
    <w:bookmarkStart w:id="43" w:name="assessment-2"/>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bookmarkEnd w:id="43"/>
    <w:bookmarkEnd w:id="44"/>
    <w:bookmarkEnd w:id="45"/>
    <w:bookmarkStart w:id="50"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p>
      <w:pPr>
        <w:pStyle w:val="Textkrper"/>
      </w:pPr>
      <w:r>
        <w:rPr>
          <w:i/>
          <w:iCs/>
        </w:rPr>
        <w:t xml:space="preserve">Cloud optimized file formats are recommended.</w:t>
      </w:r>
    </w:p>
    <w:bookmarkStart w:id="49" w:name="sec:pxl.example"/>
    <w:p>
      <w:pPr>
        <w:pStyle w:val="berschrift4"/>
      </w:pPr>
      <w:r>
        <w:rPr>
          <w:rStyle w:val="VerbatimChar"/>
        </w:rPr>
        <w:t xml:space="preserve">4.1.</w:t>
      </w:r>
      <w:r>
        <w:t xml:space="preserve"> </w:t>
      </w:r>
      <w:r>
        <w:t xml:space="preserve">Example Requirement</w:t>
      </w:r>
    </w:p>
    <w:p>
      <w:pPr>
        <w:pStyle w:val="FirstParagraph"/>
      </w:pPr>
      <w:r>
        <w:t xml:space="preserve">Identifier:</w:t>
      </w:r>
      <w:r>
        <w:t xml:space="preserve"> </w:t>
      </w:r>
      <w:r>
        <w:rPr>
          <w:rStyle w:val="VerbatimChar"/>
        </w:rPr>
        <w:t xml:space="preserve">pxl.example</w:t>
      </w:r>
    </w:p>
    <w:p>
      <w:pPr>
        <w:pStyle w:val="Textkrper"/>
      </w:pPr>
      <w:r>
        <w:t xml:space="preserve">This is an example requirement.</w:t>
      </w:r>
    </w:p>
    <w:bookmarkStart w:id="46" w:name="threshold-requirements-3"/>
    <w:p>
      <w:pPr>
        <w:pStyle w:val="berschrift5"/>
      </w:pPr>
      <w:r>
        <w:t xml:space="preserve">Threshold requirements:</w:t>
      </w:r>
    </w:p>
    <w:p>
      <w:pPr>
        <w:pStyle w:val="FirstParagraph"/>
      </w:pPr>
      <w:r>
        <w:t xml:space="preserve">This is a threshold requirement.</w:t>
      </w:r>
    </w:p>
    <w:bookmarkEnd w:id="46"/>
    <w:bookmarkStart w:id="47" w:name="goal-requirements-3"/>
    <w:p>
      <w:pPr>
        <w:pStyle w:val="berschrift5"/>
      </w:pPr>
      <w:r>
        <w:t xml:space="preserve">Goal requirements:</w:t>
      </w:r>
    </w:p>
    <w:p>
      <w:pPr>
        <w:pStyle w:val="FirstParagraph"/>
      </w:pPr>
      <w:r>
        <w:t xml:space="preserve">This is a goal requirement.</w:t>
      </w:r>
    </w:p>
    <w:p>
      <w:pPr>
        <w:pStyle w:val="Textkrper"/>
      </w:pPr>
      <w:r>
        <w:t xml:space="preserve">Notes:</w:t>
      </w:r>
    </w:p>
    <w:p>
      <w:pPr>
        <w:pStyle w:val="Compact"/>
        <w:numPr>
          <w:ilvl w:val="0"/>
          <w:numId w:val="1008"/>
        </w:numPr>
      </w:pPr>
      <w:r>
        <w:t xml:space="preserve">This is a note.</w:t>
      </w:r>
    </w:p>
    <w:bookmarkEnd w:id="47"/>
    <w:bookmarkStart w:id="48" w:name="assessment-3"/>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bookmarkEnd w:id="48"/>
    <w:bookmarkEnd w:id="49"/>
    <w:bookmarkEnd w:id="50"/>
    <w:bookmarkStart w:id="55" w:name="sec:rac"/>
    <w:p>
      <w:pPr>
        <w:pStyle w:val="berschrift3"/>
      </w:pPr>
      <w:r>
        <w:rPr>
          <w:rStyle w:val="VerbatimChar"/>
        </w:rPr>
        <w:t xml:space="preserve">5.</w:t>
      </w:r>
      <w:r>
        <w:t xml:space="preserve"> </w:t>
      </w:r>
      <w:r>
        <w:t xml:space="preserve">Radiometric and Atmospheric Corrections</w:t>
      </w:r>
    </w:p>
    <w:p>
      <w:pPr>
        <w:pStyle w:val="FirstParagraph"/>
      </w:pPr>
      <w:r>
        <w:t xml:space="preserve">The following requirements must be met for all pixels in a collection.</w:t>
      </w:r>
      <w:r>
        <w:t xml:space="preserve"> </w:t>
      </w:r>
      <w:r>
        <w:t xml:space="preserve">The requirements indicate both the necessary outcomes and the minimum steps necessary to be deemed to have achieved those outcomes. Radiometric corrections must lead to a valid measurement.</w:t>
      </w:r>
    </w:p>
    <w:bookmarkStart w:id="54" w:name="sec:rac.measurements-uncertainty"/>
    <w:p>
      <w:pPr>
        <w:pStyle w:val="berschrift4"/>
      </w:pPr>
      <w:r>
        <w:rPr>
          <w:rStyle w:val="VerbatimChar"/>
        </w:rPr>
        <w:t xml:space="preserve">5.1.</w:t>
      </w:r>
      <w:r>
        <w:t xml:space="preserve"> </w:t>
      </w:r>
      <w:r>
        <w:t xml:space="preserve">Measurement Uncertainty</w:t>
      </w:r>
    </w:p>
    <w:p>
      <w:pPr>
        <w:pStyle w:val="FirstParagraph"/>
      </w:pPr>
      <w:r>
        <w:t xml:space="preserve">Identifier:</w:t>
      </w:r>
      <w:r>
        <w:t xml:space="preserve"> </w:t>
      </w:r>
      <w:r>
        <w:rPr>
          <w:rStyle w:val="VerbatimChar"/>
        </w:rPr>
        <w:t xml:space="preserve">rac.measurements-uncertainty</w:t>
      </w:r>
    </w:p>
    <w:p>
      <w:pPr>
        <w:pStyle w:val="Textkrper"/>
      </w:pPr>
      <w:r>
        <w:t xml:space="preserve">Note: In current practice, users determine fitness for purpose based on knowledge of the lineage of the data, rather than on a specific estimate of measurement uncertainty.</w:t>
      </w:r>
    </w:p>
    <w:bookmarkStart w:id="51" w:name="threshold-requirements-4"/>
    <w:p>
      <w:pPr>
        <w:pStyle w:val="berschrift5"/>
      </w:pPr>
      <w:r>
        <w:t xml:space="preserve">Threshold requirements:</w:t>
      </w:r>
    </w:p>
    <w:p>
      <w:pPr>
        <w:pStyle w:val="FirstParagraph"/>
      </w:pPr>
      <w:r>
        <w:t xml:space="preserve">Not required.</w:t>
      </w:r>
      <w:r>
        <w:t xml:space="preserve"> </w:t>
      </w:r>
    </w:p>
    <w:bookmarkEnd w:id="51"/>
    <w:bookmarkStart w:id="52" w:name="goal-requirements-4"/>
    <w:p>
      <w:pPr>
        <w:pStyle w:val="berschrift5"/>
      </w:pPr>
      <w:r>
        <w:t xml:space="preserve">Goal requirements:</w:t>
      </w:r>
    </w:p>
    <w:p>
      <w:pPr>
        <w:pStyle w:val="FirstParagraph"/>
      </w:pPr>
      <w:r>
        <w:t xml:space="preserve">An estimate of the certainty of the values is provided in measurement units.</w:t>
      </w:r>
    </w:p>
    <w:p>
      <w:pPr>
        <w:pStyle w:val="Textkrper"/>
      </w:pPr>
      <w:r>
        <w:t xml:space="preserve">Notes:</w:t>
      </w:r>
    </w:p>
    <w:p>
      <w:pPr>
        <w:pStyle w:val="Compact"/>
        <w:numPr>
          <w:ilvl w:val="0"/>
          <w:numId w:val="1010"/>
        </w:numPr>
      </w:pPr>
      <w:r>
        <w:t xml:space="preserve">This is a requirement for SI traceability. See also Section </w:t>
      </w:r>
      <w:r>
        <w:t xml:space="preserve">“</w:t>
      </w:r>
      <w:hyperlink w:anchor="sec:meta.metadata-traceability">
        <w:r>
          <w:rPr>
            <w:rStyle w:val="Hyperlink"/>
          </w:rPr>
          <w:t xml:space="preserve">General Metadata: Traceability</w:t>
        </w:r>
      </w:hyperlink>
      <w:r>
        <w:t xml:space="preserve">”</w:t>
      </w:r>
      <w:r>
        <w:t xml:space="preserve">.</w:t>
      </w:r>
    </w:p>
    <w:p>
      <w:pPr>
        <w:pStyle w:val="Compact"/>
        <w:numPr>
          <w:ilvl w:val="0"/>
          <w:numId w:val="1010"/>
        </w:numPr>
      </w:pPr>
      <w:r>
        <w:t xml:space="preserve">Information on measurement uncertainty should be available in the metadata as a single DOI landing page.</w:t>
      </w:r>
    </w:p>
    <w:bookmarkEnd w:id="52"/>
    <w:bookmarkStart w:id="53" w:name="assessment-4"/>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bookmarkEnd w:id="53"/>
    <w:bookmarkEnd w:id="54"/>
    <w:bookmarkEnd w:id="55"/>
    <w:bookmarkStart w:id="60"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59" w:name="sec:gcor.example"/>
    <w:p>
      <w:pPr>
        <w:pStyle w:val="berschrift4"/>
      </w:pPr>
      <w:r>
        <w:rPr>
          <w:rStyle w:val="VerbatimChar"/>
        </w:rPr>
        <w:t xml:space="preserve">6.1.</w:t>
      </w:r>
      <w:r>
        <w:t xml:space="preserve"> </w:t>
      </w:r>
      <w:r>
        <w:t xml:space="preserve">Example Requirement</w:t>
      </w:r>
    </w:p>
    <w:p>
      <w:pPr>
        <w:pStyle w:val="FirstParagraph"/>
      </w:pPr>
      <w:r>
        <w:t xml:space="preserve">Identifier:</w:t>
      </w:r>
      <w:r>
        <w:t xml:space="preserve"> </w:t>
      </w:r>
      <w:r>
        <w:rPr>
          <w:rStyle w:val="VerbatimChar"/>
        </w:rPr>
        <w:t xml:space="preserve">gcor.example</w:t>
      </w:r>
    </w:p>
    <w:p>
      <w:pPr>
        <w:pStyle w:val="Textkrper"/>
      </w:pPr>
      <w:r>
        <w:t xml:space="preserve">This is an example requirement.</w:t>
      </w:r>
    </w:p>
    <w:bookmarkStart w:id="56" w:name="threshold-requirements-5"/>
    <w:p>
      <w:pPr>
        <w:pStyle w:val="berschrift5"/>
      </w:pPr>
      <w:r>
        <w:t xml:space="preserve">Threshold requirements:</w:t>
      </w:r>
    </w:p>
    <w:p>
      <w:pPr>
        <w:pStyle w:val="FirstParagraph"/>
      </w:pPr>
      <w:r>
        <w:t xml:space="preserve">This is a threshold requirement.</w:t>
      </w:r>
    </w:p>
    <w:bookmarkEnd w:id="56"/>
    <w:bookmarkStart w:id="57" w:name="goal-requirements-5"/>
    <w:p>
      <w:pPr>
        <w:pStyle w:val="berschrift5"/>
      </w:pPr>
      <w:r>
        <w:t xml:space="preserve">Goal requirements:</w:t>
      </w:r>
    </w:p>
    <w:p>
      <w:pPr>
        <w:pStyle w:val="FirstParagraph"/>
      </w:pPr>
      <w:r>
        <w:t xml:space="preserve">This is a goal requirement.</w:t>
      </w:r>
    </w:p>
    <w:p>
      <w:pPr>
        <w:pStyle w:val="Textkrper"/>
      </w:pPr>
      <w:r>
        <w:t xml:space="preserve">Notes:</w:t>
      </w:r>
    </w:p>
    <w:p>
      <w:pPr>
        <w:pStyle w:val="Compact"/>
        <w:numPr>
          <w:ilvl w:val="0"/>
          <w:numId w:val="1012"/>
        </w:numPr>
      </w:pPr>
      <w:r>
        <w:t xml:space="preserve">This is a note.</w:t>
      </w:r>
    </w:p>
    <w:bookmarkEnd w:id="57"/>
    <w:bookmarkStart w:id="58" w:name="assessment-5"/>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br w:type="page"/>
      </w:r>
    </w:p>
    <w:bookmarkEnd w:id="58"/>
    <w:bookmarkEnd w:id="59"/>
    <w:bookmarkEnd w:id="60"/>
    <w:bookmarkEnd w:id="61"/>
    <w:bookmarkStart w:id="68" w:name="summary-self-assessment-table"/>
    <w:p>
      <w:pPr>
        <w:pStyle w:val="berschrift2"/>
      </w:pPr>
      <w:r>
        <w:t xml:space="preserve">Summary Self-Assessment Table</w:t>
      </w:r>
    </w:p>
    <w:bookmarkStart w:id="62"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meta.metadata-traceability</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bl>
    <w:bookmarkEnd w:id="62"/>
    <w:bookmarkStart w:id="63" w:name="source-metadata"/>
    <w:p>
      <w:pPr>
        <w:pStyle w:val="berschrift3"/>
      </w:pPr>
      <w:r>
        <w:t xml:space="preserve">Source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src.example</w:t>
            </w:r>
          </w:p>
        </w:tc>
        <w:tc>
          <w:tcPr/>
          <w:p>
            <w:pPr>
              <w:pStyle w:val="Compact"/>
            </w:pPr>
            <w:r>
              <w:t xml:space="preserve">Example Requirement</w:t>
            </w:r>
          </w:p>
        </w:tc>
        <w:tc>
          <w:tcPr/>
          <w:p>
            <w:pPr>
              <w:pStyle w:val="Compact"/>
            </w:pPr>
          </w:p>
        </w:tc>
        <w:tc>
          <w:tcPr/>
          <w:p>
            <w:pPr>
              <w:pStyle w:val="Compact"/>
            </w:pPr>
          </w:p>
        </w:tc>
      </w:tr>
    </w:tbl>
    <w:bookmarkEnd w:id="63"/>
    <w:bookmarkStart w:id="64" w:name="product-metadata"/>
    <w:p>
      <w:pPr>
        <w:pStyle w:val="berschrift3"/>
      </w:pPr>
      <w:r>
        <w:t xml:space="preserve">Product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prd.example</w:t>
            </w:r>
          </w:p>
        </w:tc>
        <w:tc>
          <w:tcPr/>
          <w:p>
            <w:pPr>
              <w:pStyle w:val="Compact"/>
            </w:pPr>
            <w:r>
              <w:t xml:space="preserve">Example Requirement</w:t>
            </w:r>
          </w:p>
        </w:tc>
        <w:tc>
          <w:tcPr/>
          <w:p>
            <w:pPr>
              <w:pStyle w:val="Compact"/>
            </w:pPr>
          </w:p>
        </w:tc>
        <w:tc>
          <w:tcPr/>
          <w:p>
            <w:pPr>
              <w:pStyle w:val="Compact"/>
            </w:pPr>
          </w:p>
        </w:tc>
      </w:tr>
    </w:tbl>
    <w:bookmarkEnd w:id="64"/>
    <w:bookmarkStart w:id="65"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pxl.example</w:t>
            </w:r>
          </w:p>
        </w:tc>
        <w:tc>
          <w:tcPr/>
          <w:p>
            <w:pPr>
              <w:pStyle w:val="Compact"/>
            </w:pPr>
            <w:r>
              <w:t xml:space="preserve">Example Requirement</w:t>
            </w:r>
          </w:p>
        </w:tc>
        <w:tc>
          <w:tcPr/>
          <w:p>
            <w:pPr>
              <w:pStyle w:val="Compact"/>
            </w:pPr>
          </w:p>
        </w:tc>
        <w:tc>
          <w:tcPr/>
          <w:p>
            <w:pPr>
              <w:pStyle w:val="Compact"/>
            </w:pPr>
          </w:p>
        </w:tc>
      </w:tr>
    </w:tbl>
    <w:bookmarkEnd w:id="65"/>
    <w:bookmarkStart w:id="66" w:name="radiometric-and-atmospheric-corrections"/>
    <w:p>
      <w:pPr>
        <w:pStyle w:val="berschrift3"/>
      </w:pPr>
      <w:r>
        <w:t xml:space="preserve">Radiometric and Atmospheric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rac.measurements-uncertainty</w:t>
            </w:r>
          </w:p>
        </w:tc>
        <w:tc>
          <w:tcPr/>
          <w:p>
            <w:pPr>
              <w:pStyle w:val="Compact"/>
            </w:pPr>
            <w:r>
              <w:t xml:space="preserve">Measurement Uncertainty</w:t>
            </w:r>
          </w:p>
        </w:tc>
        <w:tc>
          <w:tcPr/>
          <w:p>
            <w:pPr>
              <w:pStyle w:val="Compact"/>
              <w:jc w:val="center"/>
            </w:pPr>
            <w:r>
              <w:rPr>
                <w:i/>
                <w:iCs/>
              </w:rPr>
              <w:t xml:space="preserve">not required</w:t>
            </w:r>
          </w:p>
        </w:tc>
        <w:tc>
          <w:tcPr/>
          <w:p>
            <w:pPr>
              <w:pStyle w:val="Compact"/>
            </w:pPr>
          </w:p>
        </w:tc>
      </w:tr>
    </w:tbl>
    <w:bookmarkEnd w:id="66"/>
    <w:bookmarkStart w:id="67"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gcor.example</w:t>
            </w:r>
          </w:p>
        </w:tc>
        <w:tc>
          <w:tcPr/>
          <w:p>
            <w:pPr>
              <w:pStyle w:val="Compact"/>
            </w:pPr>
            <w:r>
              <w:t xml:space="preserve">Example Requirement</w:t>
            </w:r>
          </w:p>
        </w:tc>
        <w:tc>
          <w:tcPr/>
          <w:p>
            <w:pPr>
              <w:pStyle w:val="Compact"/>
            </w:pPr>
          </w:p>
        </w:tc>
        <w:tc>
          <w:tcPr/>
          <w:p>
            <w:pPr>
              <w:pStyle w:val="Compact"/>
            </w:pPr>
          </w:p>
        </w:tc>
      </w:tr>
    </w:tbl>
    <w:p>
      <w:r>
        <w:br w:type="page"/>
      </w:r>
    </w:p>
    <w:bookmarkEnd w:id="67"/>
    <w:bookmarkEnd w:id="68"/>
    <w:bookmarkStart w:id="73"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69"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69"/>
    <w:bookmarkStart w:id="71"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14"/>
        </w:numPr>
      </w:pPr>
      <w:r>
        <w:t xml:space="preserve">that product has been assessed as meeting CEOS-ARD requirements by the agency responsible for production and distribution of the product, and</w:t>
      </w:r>
    </w:p>
    <w:p>
      <w:pPr>
        <w:pStyle w:val="Compact"/>
        <w:numPr>
          <w:ilvl w:val="0"/>
          <w:numId w:val="1014"/>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70">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71"/>
    <w:bookmarkStart w:id="72"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72"/>
    <w:bookmarkEnd w:id="73"/>
    <w:bookmarkStart w:id="78" w:name="references"/>
    <w:p>
      <w:pPr>
        <w:pStyle w:val="berschrift2"/>
      </w:pPr>
      <w:r>
        <w:t xml:space="preserve">References</w:t>
      </w:r>
    </w:p>
    <w:bookmarkStart w:id="77" w:name="refs"/>
    <w:bookmarkStart w:id="74"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74"/>
    <w:bookmarkStart w:id="76" w:name="ref-li2012"/>
    <w:p>
      <w:pPr>
        <w:pStyle w:val="Literaturverzeichnis"/>
      </w:pPr>
      <w:r>
        <w:t xml:space="preserve">Li, Fuqin, David L. B. Jupp, Medhavy Thankappan, Leo Lymburner, Norman Mueller, Adam Lewis, and Alex Held. 2012.</w:t>
      </w:r>
      <w:r>
        <w:t xml:space="preserve"> </w:t>
      </w:r>
      <w:r>
        <w:t xml:space="preserve">“A Physics-Based Atmospheric and BRDF Correction for Landsat Data over Mountainous Terrain.”</w:t>
      </w:r>
      <w:r>
        <w:t xml:space="preserve"> </w:t>
      </w:r>
      <w:r>
        <w:rPr>
          <w:i/>
          <w:iCs/>
        </w:rPr>
        <w:t xml:space="preserve">Remote Sensing of Environment</w:t>
      </w:r>
      <w:r>
        <w:t xml:space="preserve"> </w:t>
      </w:r>
      <w:r>
        <w:t xml:space="preserve">124: 756–70. https://doi.org/</w:t>
      </w:r>
      <w:hyperlink r:id="rId75">
        <w:r>
          <w:rPr>
            <w:rStyle w:val="Hyperlink"/>
          </w:rPr>
          <w:t xml:space="preserve">https://doi.org/10.1016/j.rse.2012.06.018</w:t>
        </w:r>
      </w:hyperlink>
      <w:r>
        <w:t xml:space="preserve">.</w:t>
      </w:r>
    </w:p>
    <w:bookmarkEnd w:id="76"/>
    <w:bookmarkEnd w:id="77"/>
    <w:bookmarkEnd w:id="78"/>
    <w:bookmarkEnd w:id="79"/>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hyperlink" Id="rId70" Target="https://ceos.org/ard/files/CEOS_ARD_Governance_Framework_18-October-2021.pdf" TargetMode="External" /><Relationship Type="http://schemas.openxmlformats.org/officeDocument/2006/relationships/hyperlink" Id="rId75" Target="https://doi.org/10.1016/j.rse.2012.06.018"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70" Target="https://ceos.org/ard/files/CEOS_ARD_Governance_Framework_18-October-2021.pdf" TargetMode="External" /><Relationship Type="http://schemas.openxmlformats.org/officeDocument/2006/relationships/hyperlink" Id="rId75" Target="https://doi.org/10.1016/j.rse.2012.06.018"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Surface Reflectance - Version 5.1-draft</dc:title>
  <dc:creator/>
  <dc:language>en</dc:language>
  <cp:keywords/>
  <dcterms:created xsi:type="dcterms:W3CDTF">2025-10-22T21:31:53Z</dcterms:created>
  <dcterms:modified xsi:type="dcterms:W3CDTF">2025-10-22T21:31:53Z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/home/runner/work/ceos-ard/ceos-ard/build/SR.bib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