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Earth</w:t>
      </w:r>
      <w:r>
        <w:t xml:space="preserve"> </w:t>
      </w:r>
      <w:r>
        <w:t xml:space="preserve">Engine</w:t>
      </w:r>
      <w:r>
        <w:t xml:space="preserve"> </w:t>
      </w:r>
      <w:r>
        <w:t xml:space="preserve">Integration</w:t>
      </w:r>
      <w:r>
        <w:t xml:space="preserve"> </w:t>
      </w:r>
      <w:r>
        <w:t xml:space="preserve">with</w:t>
      </w:r>
      <w:r>
        <w:t xml:space="preserve"> </w:t>
      </w:r>
      <w:r>
        <w:t xml:space="preserve">Open</w:t>
      </w:r>
      <w:r>
        <w:t xml:space="preserve"> </w:t>
      </w:r>
      <w:r>
        <w:t xml:space="preserve">Data</w:t>
      </w:r>
      <w:r>
        <w:t xml:space="preserve"> </w:t>
      </w:r>
      <w:r>
        <w:t xml:space="preserve">Cube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Lubawy</w:t>
      </w:r>
      <w:r>
        <w:br w:type="textWrapping"/>
      </w:r>
      <w:r>
        <w:t xml:space="preserve">Analytical</w:t>
      </w:r>
      <w:r>
        <w:t xml:space="preserve"> </w:t>
      </w:r>
      <w:r>
        <w:t xml:space="preserve">Mechanics</w:t>
      </w:r>
      <w:r>
        <w:t xml:space="preserve"> </w:t>
      </w:r>
      <w:r>
        <w:t xml:space="preserve">Associates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Heading2"/>
      </w:pPr>
      <w:bookmarkStart w:id="21" w:name="setup-google-api-for-google-earth-engine"/>
      <w:r>
        <w:t xml:space="preserve">Setup Google API for Google Earth Engine</w:t>
      </w:r>
      <w:bookmarkEnd w:id="21"/>
    </w:p>
    <w:p>
      <w:pPr>
        <w:pStyle w:val="FirstParagraph"/>
      </w:pPr>
      <w:r>
        <w:t xml:space="preserve">The first step is to setup the API to use the</w:t>
      </w:r>
      <w:r>
        <w:t xml:space="preserve"> </w:t>
      </w:r>
      <w:hyperlink r:id="rId22">
        <w:r>
          <w:rPr>
            <w:rStyle w:val="Hyperlink"/>
          </w:rPr>
          <w:t xml:space="preserve">Google Earth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 API</w:t>
        </w:r>
      </w:hyperlink>
      <w:r>
        <w:t xml:space="preserve">. To do</w:t>
      </w:r>
      <w:r>
        <w:t xml:space="preserve"> </w:t>
      </w:r>
      <w:r>
        <w:t xml:space="preserve">this you need to create a project here:</w:t>
      </w:r>
      <w:r>
        <w:t xml:space="preserve"> </w:t>
      </w:r>
      <w:hyperlink r:id="rId23">
        <w:r>
          <w:rPr>
            <w:rStyle w:val="Hyperlink"/>
          </w:rPr>
          <w:t xml:space="preserve">https://console.cloud.google.com/</w:t>
        </w:r>
      </w:hyperlink>
      <w:r>
        <w:t xml:space="preserve">. Go to the</w:t>
      </w:r>
      <w:r>
        <w:t xml:space="preserve"> </w:t>
      </w:r>
      <w:hyperlink r:id="rId24">
        <w:r>
          <w:rPr>
            <w:rStyle w:val="Hyperlink"/>
          </w:rPr>
          <w:t xml:space="preserve">API &amp;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Dashboard</w:t>
        </w:r>
      </w:hyperlink>
      <w:r>
        <w:t xml:space="preserve"> </w:t>
      </w:r>
      <w:r>
        <w:t xml:space="preserve">from the developer console.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Create credentials" title="" id="1" name="Picture"/>
            <a:graphic>
              <a:graphicData uri="http://schemas.openxmlformats.org/drawingml/2006/picture">
                <pic:pic>
                  <pic:nvPicPr>
                    <pic:cNvPr descr="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credentials</w:t>
      </w:r>
    </w:p>
    <w:p>
      <w:pPr>
        <w:pStyle w:val="BodyText"/>
      </w:pPr>
      <w:r>
        <w:t xml:space="preserve">Select the button in the red box according to Figure 1. This will pull up the</w:t>
      </w:r>
      <w:r>
        <w:t xml:space="preserve"> </w:t>
      </w:r>
      <w:r>
        <w:t xml:space="preserve">API library. Search for Earth Engine, select it, and then enable it for the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The next step to setup the API is to create a Service Account. To do this</w:t>
      </w:r>
      <w:r>
        <w:t xml:space="preserve"> </w:t>
      </w:r>
      <w:r>
        <w:t xml:space="preserve">navigate to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for the API.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Enabling APIs and services" title="" id="1" name="Picture"/>
            <a:graphic>
              <a:graphicData uri="http://schemas.openxmlformats.org/drawingml/2006/picture">
                <pic:pic>
                  <pic:nvPicPr>
                    <pic:cNvPr descr="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Enabling APIs and services</w:t>
      </w:r>
    </w:p>
    <w:p>
      <w:pPr>
        <w:pStyle w:val="BodyText"/>
      </w:pPr>
      <w:r>
        <w:t xml:space="preserve">Click the button in the red box for Figure 2 and select Service Account. Fill</w:t>
      </w:r>
      <w:r>
        <w:t xml:space="preserve"> </w:t>
      </w:r>
      <w:r>
        <w:t xml:space="preserve">out the form</w:t>
      </w:r>
      <w:r>
        <w:t xml:space="preserve"> </w:t>
      </w:r>
      <w:r>
        <w:t xml:space="preserve">and click next. You will likely need to add Owner roles in the next section.</w:t>
      </w:r>
      <w:r>
        <w:t xml:space="preserve"> </w:t>
      </w:r>
      <w:r>
        <w:t xml:space="preserve">Click the Role selection box, type Owner in the filter field, and then select</w:t>
      </w:r>
      <w:r>
        <w:t xml:space="preserve"> </w:t>
      </w:r>
      <w:r>
        <w:t xml:space="preserve">the Owner choice to add it as the Role. Click next. In this section click add</w:t>
      </w:r>
      <w:r>
        <w:t xml:space="preserve"> </w:t>
      </w:r>
      <w:r>
        <w:t xml:space="preserve">key and select the JSON option. This will download a JSON file with your key’s</w:t>
      </w:r>
      <w:r>
        <w:t xml:space="preserve"> </w:t>
      </w:r>
      <w:r>
        <w:t xml:space="preserve">credentials for the Service Account.</w:t>
      </w:r>
      <w:r>
        <w:t xml:space="preserve"> </w:t>
      </w:r>
      <w:r>
        <w:rPr>
          <w:b/>
        </w:rPr>
        <w:t xml:space="preserve">Keep this file secure and don’t</w:t>
      </w:r>
      <w:r>
        <w:rPr>
          <w:b/>
        </w:rPr>
        <w:t xml:space="preserve"> </w:t>
      </w:r>
      <w:r>
        <w:rPr>
          <w:b/>
        </w:rPr>
        <w:t xml:space="preserve">lose it.</w:t>
      </w:r>
      <w:r>
        <w:t xml:space="preserve"> </w:t>
      </w:r>
      <w:r>
        <w:t xml:space="preserve">This file will act as the API key for accessing GEE data. Once</w:t>
      </w:r>
      <w:r>
        <w:t xml:space="preserve"> </w:t>
      </w:r>
      <w:r>
        <w:t xml:space="preserve">you’ve got the file, click done.</w:t>
      </w:r>
    </w:p>
    <w:p>
      <w:pPr>
        <w:pStyle w:val="BodyText"/>
      </w:pPr>
      <w:r>
        <w:t xml:space="preserve">This last step is only necessary if the GEE REST API is still unreleased to the</w:t>
      </w:r>
      <w:r>
        <w:t xml:space="preserve"> </w:t>
      </w:r>
      <w:r>
        <w:t xml:space="preserve">public and if you have the proper permissions to do so. If those conditions are</w:t>
      </w:r>
      <w:r>
        <w:t xml:space="preserve"> </w:t>
      </w:r>
      <w:r>
        <w:t xml:space="preserve">met then you will have to email a Google employee your Service Account email as</w:t>
      </w:r>
      <w:r>
        <w:t xml:space="preserve"> </w:t>
      </w:r>
      <w:r>
        <w:t xml:space="preserve">indicated by the red box from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in Figure 3.</w:t>
      </w:r>
    </w:p>
    <w:p>
      <w:pPr>
        <w:pStyle w:val="CaptionedFigure"/>
      </w:pPr>
      <w:r>
        <w:drawing>
          <wp:inline>
            <wp:extent cx="5334000" cy="2539206"/>
            <wp:effectExtent b="0" l="0" r="0" t="0"/>
            <wp:docPr descr="Service account email" title="" id="1" name="Picture"/>
            <a:graphic>
              <a:graphicData uri="http://schemas.openxmlformats.org/drawingml/2006/picture">
                <pic:pic>
                  <pic:nvPicPr>
                    <pic:cNvPr descr="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Service account email</w:t>
      </w:r>
    </w:p>
    <w:p>
      <w:pPr>
        <w:pStyle w:val="Heading1"/>
      </w:pPr>
      <w:bookmarkStart w:id="29" w:name="odc-with-gee-usage"/>
      <w:r>
        <w:t xml:space="preserve">ODC with GEE Usage</w:t>
      </w:r>
      <w:bookmarkEnd w:id="29"/>
    </w:p>
    <w:p>
      <w:pPr>
        <w:pStyle w:val="Heading2"/>
      </w:pPr>
      <w:bookmarkStart w:id="30" w:name="installing-odc"/>
      <w:r>
        <w:t xml:space="preserve">Installing ODC</w:t>
      </w:r>
      <w:bookmarkEnd w:id="30"/>
    </w:p>
    <w:p>
      <w:pPr>
        <w:pStyle w:val="FirstParagraph"/>
      </w:pPr>
      <w:r>
        <w:t xml:space="preserve">Setup is simple and straightforward. You can follow one of the installation</w:t>
      </w:r>
      <w:r>
        <w:t xml:space="preserve"> </w:t>
      </w:r>
      <w:r>
        <w:t xml:space="preserve">instructions here:</w:t>
      </w:r>
      <w:r>
        <w:t xml:space="preserve"> </w:t>
      </w:r>
      <w:hyperlink r:id="rId31">
        <w:r>
          <w:rPr>
            <w:rStyle w:val="Hyperlink"/>
          </w:rPr>
          <w:t xml:space="preserve">https://datacube-core.readthedocs.io/en/latest/ops/install.html</w:t>
        </w:r>
      </w:hyperlink>
      <w:r>
        <w:t xml:space="preserve">. Our</w:t>
      </w:r>
      <w:r>
        <w:t xml:space="preserve"> </w:t>
      </w:r>
      <w:r>
        <w:t xml:space="preserve">preferred method is to setup a Python virtualenv and use</w:t>
      </w:r>
      <w:r>
        <w:t xml:space="preserve"> </w:t>
      </w:r>
      <w:r>
        <w:rPr>
          <w:rStyle w:val="VerbatimChar"/>
        </w:rPr>
        <w:t xml:space="preserve">pip install datacube</w:t>
      </w:r>
      <w:r>
        <w:t xml:space="preserve"> </w:t>
      </w:r>
      <w:r>
        <w:t xml:space="preserve">and some extra packages</w:t>
      </w:r>
      <w:r>
        <w:t xml:space="preserve"> </w:t>
      </w:r>
      <w:r>
        <w:rPr>
          <w:rStyle w:val="VerbatimChar"/>
        </w:rPr>
        <w:t xml:space="preserve">pip install jupyter matplotlib scipy</w:t>
      </w:r>
      <w:r>
        <w:t xml:space="preserve">. More suggested packages can</w:t>
      </w:r>
      <w:r>
        <w:t xml:space="preserve"> </w:t>
      </w:r>
      <w:r>
        <w:t xml:space="preserve">be found in the CEOS SEO</w:t>
      </w:r>
      <w:r>
        <w:t xml:space="preserve"> </w:t>
      </w:r>
      <w:hyperlink r:id="rId32">
        <w:r>
          <w:rPr>
            <w:rStyle w:val="Hyperlink"/>
          </w:rPr>
          <w:t xml:space="preserve">GitHub repository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Jupyter notebook utilities</w:t>
        </w:r>
      </w:hyperlink>
      <w:r>
        <w:t xml:space="preserve">.</w:t>
      </w:r>
    </w:p>
    <w:p>
      <w:pPr>
        <w:pStyle w:val="BodyText"/>
      </w:pPr>
      <w:r>
        <w:t xml:space="preserve">The other option is to have ODC install datacube with the odc-gee package which</w:t>
      </w:r>
      <w:r>
        <w:t xml:space="preserve"> </w:t>
      </w:r>
      <w:r>
        <w:t xml:space="preserve">includes it as a required dependency.</w:t>
      </w:r>
    </w:p>
    <w:p>
      <w:pPr>
        <w:pStyle w:val="Heading2"/>
      </w:pPr>
      <w:bookmarkStart w:id="33" w:name="indexing-data"/>
      <w:r>
        <w:t xml:space="preserve">Indexing Data</w:t>
      </w:r>
      <w:bookmarkEnd w:id="33"/>
    </w:p>
    <w:p>
      <w:pPr>
        <w:pStyle w:val="FirstParagraph"/>
      </w:pPr>
      <w:r>
        <w:t xml:space="preserve">Indexing data is nearly identical to</w:t>
      </w:r>
      <w:r>
        <w:t xml:space="preserve"> </w:t>
      </w:r>
      <w:hyperlink r:id="rId34">
        <w:r>
          <w:rPr>
            <w:rStyle w:val="Hyperlink"/>
          </w:rPr>
          <w:t xml:space="preserve">normal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ODC indexing</w:t>
        </w:r>
      </w:hyperlink>
      <w:r>
        <w:t xml:space="preserve"> </w:t>
      </w:r>
      <w:r>
        <w:t xml:space="preserve">and makes heavy use of modified</w:t>
      </w:r>
      <w:r>
        <w:t xml:space="preserve"> </w:t>
      </w:r>
      <w:hyperlink r:id="rId35">
        <w:r>
          <w:rPr>
            <w:rStyle w:val="Hyperlink"/>
          </w:rPr>
          <w:t xml:space="preserve">AWS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S3 indexing scripts</w:t>
        </w:r>
      </w:hyperlink>
      <w:r>
        <w:t xml:space="preserve">. It also uses the following Python packages:</w:t>
      </w:r>
    </w:p>
    <w:p>
      <w:pPr>
        <w:numPr>
          <w:numId w:val="1001"/>
          <w:ilvl w:val="0"/>
        </w:numPr>
      </w:pPr>
      <w:r>
        <w:t xml:space="preserve">google-api-python-client</w:t>
      </w:r>
    </w:p>
    <w:p>
      <w:pPr>
        <w:numPr>
          <w:numId w:val="1001"/>
          <w:ilvl w:val="0"/>
        </w:numPr>
      </w:pPr>
      <w:r>
        <w:t xml:space="preserve">google-auth</w:t>
      </w:r>
    </w:p>
    <w:p>
      <w:pPr>
        <w:numPr>
          <w:numId w:val="1001"/>
          <w:ilvl w:val="0"/>
        </w:numPr>
      </w:pPr>
      <w:r>
        <w:t xml:space="preserve">google-auth-oauthlib</w:t>
      </w:r>
    </w:p>
    <w:p>
      <w:pPr>
        <w:pStyle w:val="FirstParagraph"/>
      </w:pPr>
      <w:r>
        <w:t xml:space="preserve">These packages make it easy to authenticate and connect with the GEE API. This</w:t>
      </w:r>
      <w:r>
        <w:t xml:space="preserve"> </w:t>
      </w:r>
      <w:r>
        <w:t xml:space="preserve">will allow for using the API to retrieve metadata on products to be indexed.</w:t>
      </w:r>
    </w:p>
    <w:p>
      <w:pPr>
        <w:pStyle w:val="BodyText"/>
      </w:pPr>
      <w:r>
        <w:t xml:space="preserve">The first step to indexing is to create a product definition. This</w:t>
      </w:r>
      <w:r>
        <w:t xml:space="preserve"> </w:t>
      </w:r>
      <w:r>
        <w:t xml:space="preserve">process can be found in the ODC documentation:</w:t>
      </w:r>
      <w:r>
        <w:t xml:space="preserve"> </w:t>
      </w:r>
      <w:hyperlink r:id="rId36">
        <w:r>
          <w:rPr>
            <w:rStyle w:val="Hyperlink"/>
          </w:rPr>
          <w:t xml:space="preserve">https://datacube-core.readthedocs.io/en/latest/ops/product.html</w:t>
        </w:r>
      </w:hyperlink>
      <w:r>
        <w:t xml:space="preserve">. The</w:t>
      </w:r>
      <w:r>
        <w:t xml:space="preserve"> </w:t>
      </w:r>
      <w:r>
        <w:t xml:space="preserve">primary goal is to define the most relevant and basic information about a</w:t>
      </w:r>
      <w:r>
        <w:t xml:space="preserve"> </w:t>
      </w:r>
      <w:hyperlink r:id="rId37">
        <w:r>
          <w:rPr>
            <w:rStyle w:val="Hyperlink"/>
          </w:rPr>
          <w:t xml:space="preserve">GEE catalog entry</w:t>
        </w:r>
      </w:hyperlink>
      <w:r>
        <w:t xml:space="preserve">.</w:t>
      </w:r>
      <w:r>
        <w:t xml:space="preserve"> </w:t>
      </w:r>
      <w:r>
        <w:t xml:space="preserve">If using the odc-gee package, it is important to make sure aliases are included</w:t>
      </w:r>
      <w:r>
        <w:t xml:space="preserve"> </w:t>
      </w:r>
      <w:r>
        <w:t xml:space="preserve">in the measurements field with the first alias in the list being the defined</w:t>
      </w:r>
      <w:r>
        <w:t xml:space="preserve"> </w:t>
      </w:r>
      <w:r>
        <w:t xml:space="preserve">band in the GEE catalog. For example, the blue band in a Sentinel-2 product</w:t>
      </w:r>
      <w:r>
        <w:t xml:space="preserve"> </w:t>
      </w:r>
      <w:r>
        <w:t xml:space="preserve">will have "B2" as the first alias. This is to allow products to change names</w:t>
      </w:r>
      <w:r>
        <w:t xml:space="preserve"> </w:t>
      </w:r>
      <w:r>
        <w:t xml:space="preserve">while retaining the mapping to the band name as defined by the API. It also</w:t>
      </w:r>
      <w:r>
        <w:t xml:space="preserve"> </w:t>
      </w:r>
      <w:r>
        <w:t xml:space="preserve">performs a check to make sure a dataset has all the required bands to prevent a</w:t>
      </w:r>
      <w:r>
        <w:t xml:space="preserve"> </w:t>
      </w:r>
      <w:r>
        <w:t xml:space="preserve">failure to index. Sentinel-1 is an example of this where it will rarely exclude</w:t>
      </w:r>
      <w:r>
        <w:t xml:space="preserve"> </w:t>
      </w:r>
      <w:r>
        <w:t xml:space="preserve">the typical "VV" and "VH" bands for "HH" and "HV" instead. ODC needs all bands</w:t>
      </w:r>
      <w:r>
        <w:t xml:space="preserve"> </w:t>
      </w:r>
      <w:r>
        <w:t xml:space="preserve">defined in the product specification to be present. The odc-gee also includes a</w:t>
      </w:r>
      <w:r>
        <w:t xml:space="preserve"> </w:t>
      </w:r>
      <w:r>
        <w:t xml:space="preserve">script to guide the process. This can be ran by running</w:t>
      </w:r>
      <w:r>
        <w:t xml:space="preserve"> </w:t>
      </w:r>
      <w:r>
        <w:rPr>
          <w:rStyle w:val="VerbatimChar"/>
        </w:rPr>
        <w:t xml:space="preserve">new_product &lt;product-name&gt;.yaml</w:t>
      </w:r>
      <w:r>
        <w:t xml:space="preserve">.</w:t>
      </w:r>
    </w:p>
    <w:p>
      <w:pPr>
        <w:pStyle w:val="BodyText"/>
      </w:pPr>
      <w:r>
        <w:t xml:space="preserve">An example of a Sentinel-1 product definition for Google Earth Engine (note:</w:t>
      </w:r>
      <w:r>
        <w:t xml:space="preserve"> </w:t>
      </w:r>
      <w:r>
        <w:t xml:space="preserve">single precision float32 was chosen over original data’s double precision</w:t>
      </w:r>
      <w:r>
        <w:t xml:space="preserve"> </w:t>
      </w:r>
      <w:r>
        <w:t xml:space="preserve">float64 to conserve memory on load):</w:t>
      </w:r>
    </w:p>
    <w:p>
      <w:pPr>
        <w:pStyle w:val="SourceCode"/>
      </w:pPr>
      <w:r>
        <w:rPr>
          <w:rStyle w:val="VerbatimChar"/>
        </w:rPr>
        <w:t xml:space="preserve">name: s1_google</w:t>
      </w:r>
      <w:r>
        <w:br w:type="textWrapping"/>
      </w:r>
      <w:r>
        <w:rPr>
          <w:rStyle w:val="VerbatimChar"/>
        </w:rPr>
        <w:t xml:space="preserve">description: Sentinel-1A/B SAR sigma0 scenes, processed by Google - Apply orbit</w:t>
      </w:r>
      <w:r>
        <w:br w:type="textWrapping"/>
      </w:r>
      <w:r>
        <w:rPr>
          <w:rStyle w:val="VerbatimChar"/>
        </w:rPr>
        <w:t xml:space="preserve">file, GRD border noise removal, thermal noise removal, radiometric calibration,</w:t>
      </w:r>
      <w:r>
        <w:br w:type="textWrapping"/>
      </w:r>
      <w:r>
        <w:rPr>
          <w:rStyle w:val="VerbatimChar"/>
        </w:rPr>
        <w:t xml:space="preserve">and terrain correction (SRTM 30m DEM).</w:t>
      </w:r>
      <w:r>
        <w:br w:type="textWrapping"/>
      </w:r>
      <w:r>
        <w:rPr>
          <w:rStyle w:val="VerbatimChar"/>
        </w:rPr>
        <w:t xml:space="preserve">metadata_type: eo</w:t>
      </w:r>
      <w:r>
        <w:br w:type="textWrapping"/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  format: {name: GeoTIFF}</w:t>
      </w:r>
      <w:r>
        <w:br w:type="textWrapping"/>
      </w:r>
      <w:r>
        <w:rPr>
          <w:rStyle w:val="VerbatimChar"/>
        </w:rPr>
        <w:t xml:space="preserve">    instrument: {name: SAR}</w:t>
      </w:r>
      <w:r>
        <w:br w:type="textWrapping"/>
      </w:r>
      <w:r>
        <w:rPr>
          <w:rStyle w:val="VerbatimChar"/>
        </w:rPr>
        <w:t xml:space="preserve">    platform: {code: SENTINEL-1}</w:t>
      </w:r>
      <w:r>
        <w:br w:type="textWrapping"/>
      </w:r>
      <w:r>
        <w:rPr>
          <w:rStyle w:val="VerbatimChar"/>
        </w:rPr>
        <w:t xml:space="preserve">    product_type: GRD</w:t>
      </w:r>
      <w:r>
        <w:br w:type="textWrapping"/>
      </w:r>
      <w:r>
        <w:br w:type="textWrapping"/>
      </w:r>
      <w:r>
        <w:rPr>
          <w:rStyle w:val="VerbatimChar"/>
        </w:rPr>
        <w:t xml:space="preserve">storage:</w:t>
      </w:r>
      <w:r>
        <w:br w:type="textWrapping"/>
      </w:r>
      <w:r>
        <w:rPr>
          <w:rStyle w:val="VerbatimChar"/>
        </w:rPr>
        <w:t xml:space="preserve">    crs: EPSG:4326</w:t>
      </w:r>
      <w:r>
        <w:br w:type="textWrapping"/>
      </w:r>
      <w:r>
        <w:rPr>
          <w:rStyle w:val="VerbatimChar"/>
        </w:rPr>
        <w:t xml:space="preserve">    resolution:</w:t>
      </w:r>
      <w:r>
        <w:br w:type="textWrapping"/>
      </w:r>
      <w:r>
        <w:rPr>
          <w:rStyle w:val="VerbatimChar"/>
        </w:rPr>
        <w:t xml:space="preserve">        longitude: 0.0000898311175</w:t>
      </w:r>
      <w:r>
        <w:br w:type="textWrapping"/>
      </w:r>
      <w:r>
        <w:rPr>
          <w:rStyle w:val="VerbatimChar"/>
        </w:rPr>
        <w:t xml:space="preserve">        latitude: -0.0000898311175</w:t>
      </w:r>
      <w:r>
        <w:br w:type="textWrapping"/>
      </w:r>
      <w:r>
        <w:br w:type="textWrapping"/>
      </w:r>
      <w:r>
        <w:rPr>
          <w:rStyle w:val="VerbatimChar"/>
        </w:rPr>
        <w:t xml:space="preserve">measurements:</w:t>
      </w:r>
      <w:r>
        <w:br w:type="textWrapping"/>
      </w:r>
      <w:r>
        <w:rPr>
          <w:rStyle w:val="VerbatimChar"/>
        </w:rPr>
        <w:t xml:space="preserve">    - name: vh</w:t>
      </w:r>
      <w:r>
        <w:br w:type="textWrapping"/>
      </w:r>
      <w:r>
        <w:rPr>
          <w:rStyle w:val="VerbatimChar"/>
        </w:rPr>
        <w:t xml:space="preserve">      aliases: [VH]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  <w:r>
        <w:br w:type="textWrapping"/>
      </w:r>
      <w:r>
        <w:br w:type="textWrapping"/>
      </w:r>
      <w:r>
        <w:rPr>
          <w:rStyle w:val="VerbatimChar"/>
        </w:rPr>
        <w:t xml:space="preserve">    - name: vv</w:t>
      </w:r>
      <w:r>
        <w:br w:type="textWrapping"/>
      </w:r>
      <w:r>
        <w:rPr>
          <w:rStyle w:val="VerbatimChar"/>
        </w:rPr>
        <w:t xml:space="preserve">      aliases: [VV]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</w:p>
    <w:p>
      <w:pPr>
        <w:pStyle w:val="FirstParagraph"/>
      </w:pPr>
      <w:r>
        <w:t xml:space="preserve">The next step is to create a dataset configuration file. This requires</w:t>
      </w:r>
      <w:r>
        <w:t xml:space="preserve"> </w:t>
      </w:r>
      <w:r>
        <w:t xml:space="preserve">a little more effort than just following the</w:t>
      </w:r>
      <w:r>
        <w:t xml:space="preserve"> </w:t>
      </w:r>
      <w:hyperlink r:id="rId38">
        <w:r>
          <w:rPr>
            <w:rStyle w:val="Hyperlink"/>
          </w:rPr>
          <w:t xml:space="preserve">ODC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for datasets, but it should still be a simple process. The S3 script</w:t>
      </w:r>
      <w:r>
        <w:t xml:space="preserve"> </w:t>
      </w:r>
      <w:r>
        <w:t xml:space="preserve">linked earlier is modified and used here with the ODC guide as a blueprint for</w:t>
      </w:r>
      <w:r>
        <w:t xml:space="preserve"> </w:t>
      </w:r>
      <w:r>
        <w:t xml:space="preserve">doing the same for GEE data. Instead of grabbing the metadata from an AWS S3</w:t>
      </w:r>
      <w:r>
        <w:t xml:space="preserve"> </w:t>
      </w:r>
      <w:r>
        <w:t xml:space="preserve">bucket, the data will be retrieved through the API libraries linked above. This</w:t>
      </w:r>
      <w:r>
        <w:t xml:space="preserve"> </w:t>
      </w:r>
      <w:r>
        <w:t xml:space="preserve">will need the service account credentials downloaded in the prerequisites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The major difference between the S3 and GEE indexing will be in the band path</w:t>
      </w:r>
      <w:r>
        <w:t xml:space="preserve"> </w:t>
      </w:r>
      <w:r>
        <w:t xml:space="preserve">format. GEE indexed data is accessed by using rasterio</w:t>
      </w:r>
      <w:r>
        <w:t xml:space="preserve"> </w:t>
      </w:r>
      <w:r>
        <w:t xml:space="preserve">which wraps GDAL which smartly picks a driver for</w:t>
      </w:r>
      <w:r>
        <w:t xml:space="preserve"> </w:t>
      </w:r>
      <w:hyperlink r:id="rId39">
        <w:r>
          <w:rPr>
            <w:rStyle w:val="Hyperlink"/>
          </w:rPr>
          <w:t xml:space="preserve">pulling from the GEE API</w:t>
        </w:r>
      </w:hyperlink>
      <w:r>
        <w:t xml:space="preserve">.</w:t>
      </w:r>
      <w:r>
        <w:t xml:space="preserve"> </w:t>
      </w:r>
      <w:r>
        <w:t xml:space="preserve">Therefore the band path will need to be in a format that GDAL will recognize</w:t>
      </w:r>
      <w:r>
        <w:t xml:space="preserve"> </w:t>
      </w:r>
      <w:r>
        <w:t xml:space="preserve">and which the API driver will use:</w:t>
      </w:r>
      <w:r>
        <w:t xml:space="preserve"> </w:t>
      </w:r>
      <w:r>
        <w:rPr>
          <w:rStyle w:val="VerbatimChar"/>
        </w:rPr>
        <w:t xml:space="preserve">EEDAI:[asset][:band_names]</w:t>
      </w:r>
      <w:r>
        <w:t xml:space="preserve">.</w:t>
      </w:r>
    </w:p>
    <w:p>
      <w:pPr>
        <w:pStyle w:val="BodyText"/>
      </w:pPr>
      <w:r>
        <w:t xml:space="preserve">An example of a Sentinel-1 band path for GEE in ODC broken up into its various</w:t>
      </w:r>
      <w:r>
        <w:t xml:space="preserve"> </w:t>
      </w:r>
      <w:r>
        <w:t xml:space="preserve">parts:</w:t>
      </w:r>
    </w:p>
    <w:p>
      <w:pPr>
        <w:pStyle w:val="SourceCode"/>
      </w:pPr>
      <w:r>
        <w:rPr>
          <w:rStyle w:val="VerbatimChar"/>
        </w:rPr>
        <w:t xml:space="preserve">'EEDAI:' + 'projects/earthengine-public/assets/' +</w:t>
      </w:r>
      <w:r>
        <w:br w:type="textWrapping"/>
      </w:r>
      <w:r>
        <w:rPr>
          <w:rStyle w:val="VerbatimChar"/>
        </w:rPr>
        <w:t xml:space="preserve">'COPERNICUS/S1_GRD/S1A_IW_GRDH_1SDV_20160121T181002_20160121T181027_009596_00DF74_ABC5'</w:t>
      </w:r>
      <w:r>
        <w:br w:type="textWrapping"/>
      </w:r>
      <w:r>
        <w:rPr>
          <w:rStyle w:val="VerbatimChar"/>
        </w:rPr>
        <w:t xml:space="preserve">+ ':VV'</w:t>
      </w:r>
    </w:p>
    <w:p>
      <w:pPr>
        <w:pStyle w:val="FirstParagraph"/>
      </w:pPr>
      <w:r>
        <w:t xml:space="preserve">Currently, this entire process has been turned into various Python modules, and</w:t>
      </w:r>
      <w:r>
        <w:t xml:space="preserve"> </w:t>
      </w:r>
      <w:r>
        <w:t xml:space="preserve">on top of those is now a script which can do this process in a more automated</w:t>
      </w:r>
      <w:r>
        <w:t xml:space="preserve"> </w:t>
      </w:r>
      <w:r>
        <w:t xml:space="preserve">fashion. This is in the odc-gee package and can be used like so for a specified</w:t>
      </w:r>
      <w:r>
        <w:t xml:space="preserve"> </w:t>
      </w:r>
      <w:r>
        <w:t xml:space="preserve">Sentinel-1 product:</w:t>
      </w:r>
      <w:r>
        <w:t xml:space="preserve"> </w:t>
      </w:r>
      <w:r>
        <w:rPr>
          <w:rStyle w:val="VerbatimChar"/>
        </w:rPr>
        <w:t xml:space="preserve">index_gee --asset COPERNICUS/S1_GRD --product s1_google</w:t>
      </w:r>
      <w:r>
        <w:t xml:space="preserve">. This will</w:t>
      </w:r>
      <w:r>
        <w:t xml:space="preserve"> </w:t>
      </w:r>
      <w:r>
        <w:t xml:space="preserve">iterate through every available image in the GEE catalog entry for its entire</w:t>
      </w:r>
      <w:r>
        <w:t xml:space="preserve"> </w:t>
      </w:r>
      <w:r>
        <w:t xml:space="preserve">time extent. It will then attempt to parse the image’s metadata into a dataset</w:t>
      </w:r>
      <w:r>
        <w:t xml:space="preserve"> </w:t>
      </w:r>
      <w:r>
        <w:t xml:space="preserve">document to add to the ODC index. Other options are available for specifying</w:t>
      </w:r>
      <w:r>
        <w:t xml:space="preserve"> </w:t>
      </w:r>
      <w:r>
        <w:t xml:space="preserve">regions or allowing updates in the index.</w:t>
      </w:r>
    </w:p>
    <w:p>
      <w:pPr>
        <w:pStyle w:val="Heading3"/>
      </w:pPr>
      <w:bookmarkStart w:id="40" w:name="how-the-api-is-parsed"/>
      <w:r>
        <w:t xml:space="preserve">How the API is Parsed</w:t>
      </w:r>
      <w:bookmarkEnd w:id="40"/>
    </w:p>
    <w:p>
      <w:pPr>
        <w:pStyle w:val="FirstParagraph"/>
      </w:pPr>
      <w:r>
        <w:t xml:space="preserve">The script uses the</w:t>
      </w:r>
      <w:r>
        <w:t xml:space="preserve"> </w:t>
      </w:r>
      <w:hyperlink r:id="rId22">
        <w:r>
          <w:rPr>
            <w:rStyle w:val="Hyperlink"/>
          </w:rPr>
          <w:t xml:space="preserve">GEE REST API</w:t>
        </w:r>
      </w:hyperlink>
      <w:r>
        <w:t xml:space="preserve">. It</w:t>
      </w:r>
      <w:r>
        <w:t xml:space="preserve"> </w:t>
      </w:r>
      <w:r>
        <w:t xml:space="preserve">specifically queries the</w:t>
      </w:r>
      <w:r>
        <w:t xml:space="preserve"> </w:t>
      </w:r>
      <w:hyperlink r:id="rId41">
        <w:r>
          <w:rPr>
            <w:rStyle w:val="VerbatimChar"/>
            <w:rStyle w:val="Hyperlink"/>
          </w:rPr>
          <w:t xml:space="preserve">listImages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</w:t>
        </w:r>
      </w:hyperlink>
      <w:r>
        <w:t xml:space="preserve"> </w:t>
      </w:r>
      <w:r>
        <w:t xml:space="preserve">to receive a list of datasets. Then it will iterate over the results</w:t>
      </w:r>
      <w:r>
        <w:t xml:space="preserve"> </w:t>
      </w:r>
      <w:r>
        <w:t xml:space="preserve">and parse the available metadata into a format for an ODC dataset document:</w:t>
      </w:r>
      <w:r>
        <w:t xml:space="preserve"> </w:t>
      </w:r>
      <w:hyperlink r:id="rId38">
        <w:r>
          <w:rPr>
            <w:rStyle w:val="Hyperlink"/>
          </w:rPr>
          <w:t xml:space="preserve">https://datacube-core.readthedocs.io/en/latest/ops/dataset_documents.html</w:t>
        </w:r>
      </w:hyperlink>
      <w:r>
        <w:t xml:space="preserve"> </w:t>
      </w:r>
      <w:r>
        <w:t xml:space="preserve">(currently using the deprecated EO format). The dataset document is constructed</w:t>
      </w:r>
      <w:r>
        <w:t xml:space="preserve"> </w:t>
      </w:r>
      <w:r>
        <w:t xml:space="preserve">using what was defined in the product definition as well as what is provided by</w:t>
      </w:r>
      <w:r>
        <w:t xml:space="preserve"> </w:t>
      </w:r>
      <w:r>
        <w:t xml:space="preserve">the metadata from the API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 Integration with Open Data Cube</dc:title>
  <dc:creator>Andrew Lubawy Analytical Mechanics Associates</dc:creator>
  <cp:keywords/>
  <dcterms:created xsi:type="dcterms:W3CDTF">2020-09-08T14:08:26Z</dcterms:created>
  <dcterms:modified xsi:type="dcterms:W3CDTF">2020-09-08T14:08:26Z</dcterms:modified>
</cp:coreProperties>
</file>