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950e3q9ccem" w:id="0"/>
      <w:bookmarkEnd w:id="0"/>
      <w:r w:rsidDel="00000000" w:rsidR="00000000" w:rsidRPr="00000000">
        <w:rPr>
          <w:rtl w:val="0"/>
        </w:rPr>
        <w:t xml:space="preserve">Analysis of the Solution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We’ve put together an </w:t>
      </w:r>
      <w:r w:rsidDel="00000000" w:rsidR="00000000" w:rsidRPr="00000000">
        <w:rPr>
          <w:i w:val="1"/>
          <w:rtl w:val="0"/>
        </w:rPr>
        <w:t xml:space="preserve">exceptionally well-thought-out architecture</w:t>
      </w:r>
      <w:r w:rsidDel="00000000" w:rsidR="00000000" w:rsidRPr="00000000">
        <w:rPr>
          <w:rtl w:val="0"/>
        </w:rPr>
        <w:t xml:space="preserve">, combining Trend Learners (TL), a Latency Risk Estimator (RE), and a Decision Engine (DE), optionally augmented with an RL agent.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