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iverml.xy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m.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42</Pages>
  <Words>8200</Words>
  <Characters>46745</Characters>
  <Application>Microsoft Office Word</Application>
  <DocSecurity>0</DocSecurity>
  <Lines>389</Lines>
  <Paragraphs>109</Paragraphs>
  <ScaleCrop>false</ScaleCrop>
  <Company/>
  <LinksUpToDate>false</LinksUpToDate>
  <CharactersWithSpaces>54836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100</cp:revision>
  <dcterms:created xsi:type="dcterms:W3CDTF">2025-05-28T11:41:00Z</dcterms:created>
  <dcterms:modified xsi:type="dcterms:W3CDTF">2025-05-31T05:45:00Z</dcterms:modified>
</cp:coreProperties>
</file>